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华文仿宋" w:cs="Times New Roman"/>
          <w:sz w:val="32"/>
          <w:szCs w:val="32"/>
          <w:highlight w:val="none"/>
        </w:rPr>
      </w:pPr>
      <w:bookmarkStart w:id="0" w:name="_GoBack"/>
      <w:r>
        <w:rPr>
          <w:rFonts w:hint="eastAsia" w:ascii="黑体" w:hAnsi="黑体" w:eastAsia="黑体" w:cs="黑体"/>
          <w:sz w:val="32"/>
          <w:szCs w:val="32"/>
          <w:highlight w:val="none"/>
        </w:rPr>
        <w:t>附件</w:t>
      </w:r>
      <w:r>
        <w:rPr>
          <w:rFonts w:hint="default" w:ascii="Times New Roman" w:hAnsi="Times New Roman" w:eastAsia="华文仿宋" w:cs="Times New Roman"/>
          <w:sz w:val="32"/>
          <w:szCs w:val="32"/>
          <w:highlight w:val="none"/>
        </w:rPr>
        <w:t>4</w:t>
      </w:r>
    </w:p>
    <w:p>
      <w:pPr>
        <w:keepNext w:val="0"/>
        <w:keepLines w:val="0"/>
        <w:pageBreakBefore w:val="0"/>
        <w:widowControl w:val="0"/>
        <w:kinsoku/>
        <w:wordWrap/>
        <w:overflowPunct/>
        <w:topLinePunct w:val="0"/>
        <w:autoSpaceDE/>
        <w:autoSpaceDN/>
        <w:bidi w:val="0"/>
        <w:adjustRightInd/>
        <w:snapToGrid/>
        <w:spacing w:before="63" w:beforeLines="20" w:after="157" w:afterLines="50" w:line="70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婚前孕前健康检查风险评估专家指导意见</w:t>
      </w:r>
    </w:p>
    <w:bookmarkEnd w:id="0"/>
    <w:tbl>
      <w:tblPr>
        <w:tblStyle w:val="5"/>
        <w:tblW w:w="13992" w:type="dxa"/>
        <w:jc w:val="center"/>
        <w:tblInd w:w="0" w:type="dxa"/>
        <w:tblLayout w:type="fixed"/>
        <w:tblCellMar>
          <w:top w:w="0" w:type="dxa"/>
          <w:left w:w="108" w:type="dxa"/>
          <w:bottom w:w="0" w:type="dxa"/>
          <w:right w:w="108" w:type="dxa"/>
        </w:tblCellMar>
      </w:tblPr>
      <w:tblGrid>
        <w:gridCol w:w="959"/>
        <w:gridCol w:w="721"/>
        <w:gridCol w:w="430"/>
        <w:gridCol w:w="1967"/>
        <w:gridCol w:w="9915"/>
      </w:tblGrid>
      <w:tr>
        <w:tblPrEx>
          <w:tblLayout w:type="fixed"/>
          <w:tblCellMar>
            <w:top w:w="0" w:type="dxa"/>
            <w:left w:w="108" w:type="dxa"/>
            <w:bottom w:w="0" w:type="dxa"/>
            <w:right w:w="108" w:type="dxa"/>
          </w:tblCellMar>
        </w:tblPrEx>
        <w:trPr>
          <w:trHeight w:val="452" w:hRule="atLeast"/>
          <w:tblHeader/>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黑体" w:hAnsi="黑体" w:eastAsia="黑体" w:cs="黑体"/>
                <w:b w:val="0"/>
                <w:bCs/>
                <w:kern w:val="0"/>
                <w:sz w:val="21"/>
                <w:szCs w:val="21"/>
                <w:highlight w:val="none"/>
              </w:rPr>
            </w:pPr>
            <w:r>
              <w:rPr>
                <w:rFonts w:hint="eastAsia" w:ascii="黑体" w:hAnsi="黑体" w:eastAsia="黑体" w:cs="黑体"/>
                <w:b w:val="0"/>
                <w:bCs/>
                <w:kern w:val="0"/>
                <w:sz w:val="21"/>
                <w:szCs w:val="21"/>
                <w:highlight w:val="none"/>
              </w:rPr>
              <w:t>序号</w:t>
            </w:r>
          </w:p>
        </w:tc>
        <w:tc>
          <w:tcPr>
            <w:tcW w:w="311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黑体" w:hAnsi="黑体" w:eastAsia="黑体" w:cs="黑体"/>
                <w:b w:val="0"/>
                <w:bCs/>
                <w:kern w:val="0"/>
                <w:sz w:val="21"/>
                <w:szCs w:val="21"/>
                <w:highlight w:val="none"/>
              </w:rPr>
            </w:pPr>
            <w:r>
              <w:rPr>
                <w:rFonts w:hint="eastAsia" w:ascii="黑体" w:hAnsi="黑体" w:eastAsia="黑体" w:cs="黑体"/>
                <w:b w:val="0"/>
                <w:bCs/>
                <w:kern w:val="0"/>
                <w:sz w:val="21"/>
                <w:szCs w:val="21"/>
                <w:highlight w:val="none"/>
              </w:rPr>
              <w:t>项　目</w:t>
            </w:r>
          </w:p>
        </w:tc>
        <w:tc>
          <w:tcPr>
            <w:tcW w:w="9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黑体" w:hAnsi="黑体" w:eastAsia="黑体" w:cs="黑体"/>
                <w:b w:val="0"/>
                <w:bCs/>
                <w:kern w:val="0"/>
                <w:sz w:val="21"/>
                <w:szCs w:val="21"/>
                <w:highlight w:val="none"/>
              </w:rPr>
            </w:pPr>
            <w:r>
              <w:rPr>
                <w:rFonts w:hint="eastAsia" w:ascii="黑体" w:hAnsi="黑体" w:eastAsia="黑体" w:cs="黑体"/>
                <w:b w:val="0"/>
                <w:bCs/>
                <w:kern w:val="0"/>
                <w:sz w:val="21"/>
                <w:szCs w:val="21"/>
                <w:highlight w:val="none"/>
              </w:rPr>
              <w:t xml:space="preserve">指导意见                             </w:t>
            </w:r>
          </w:p>
        </w:tc>
      </w:tr>
      <w:tr>
        <w:tblPrEx>
          <w:tblLayout w:type="fixed"/>
          <w:tblCellMar>
            <w:top w:w="0" w:type="dxa"/>
            <w:left w:w="108" w:type="dxa"/>
            <w:bottom w:w="0" w:type="dxa"/>
            <w:right w:w="108" w:type="dxa"/>
          </w:tblCellMar>
        </w:tblPrEx>
        <w:trPr>
          <w:trHeight w:val="1155" w:hRule="atLeast"/>
          <w:jc w:val="center"/>
        </w:trPr>
        <w:tc>
          <w:tcPr>
            <w:tcW w:w="95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1</w:t>
            </w:r>
          </w:p>
        </w:tc>
        <w:tc>
          <w:tcPr>
            <w:tcW w:w="311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优生健康教育</w:t>
            </w:r>
          </w:p>
        </w:tc>
        <w:tc>
          <w:tcPr>
            <w:tcW w:w="9915" w:type="dxa"/>
            <w:tcBorders>
              <w:top w:val="nil"/>
              <w:left w:val="nil"/>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有准备、有计划地妊娠，尽量避免高龄妊娠。</w:t>
            </w:r>
          </w:p>
          <w:p>
            <w:pPr>
              <w:keepNext w:val="0"/>
              <w:keepLines w:val="0"/>
              <w:pageBreakBefore w:val="0"/>
              <w:widowControl/>
              <w:numPr>
                <w:ilvl w:val="0"/>
                <w:numId w:val="1"/>
              </w:numPr>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合理营养，控制体质量增加。</w:t>
            </w:r>
          </w:p>
          <w:p>
            <w:pPr>
              <w:keepNext w:val="0"/>
              <w:keepLines w:val="0"/>
              <w:pageBreakBefore w:val="0"/>
              <w:widowControl/>
              <w:numPr>
                <w:ilvl w:val="0"/>
                <w:numId w:val="1"/>
              </w:numPr>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补充叶酸0.4~0.8 mg/d，或含叶酸的复合维生素。既往生育过神经管缺陷（NTD）儿的孕妇，则需每天补充叶酸4 mg。（4）有遗传病、慢性疾病和传染病而准备妊娠的妇女，应予以评估并指导。</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（5）合理用药，避免使用可能影响胎儿正常发育的药物。</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6）避免接触生活及职业环境中的有毒有害物质（如放射线、高温、铅、汞、苯、砷、农药等），避免密切接触宠物。（7）改变不良的生活习惯（如吸烟、酗酒、吸毒等）及生活方式；避免高强度的工作、高噪音环境和家庭暴力。</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（8）保持心理健康，解除精神压力，预防孕期及产后心理问题的发生。</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（9）合理选择运动方式。</w:t>
            </w:r>
          </w:p>
        </w:tc>
      </w:tr>
      <w:tr>
        <w:tblPrEx>
          <w:tblLayout w:type="fixed"/>
          <w:tblCellMar>
            <w:top w:w="0" w:type="dxa"/>
            <w:left w:w="108" w:type="dxa"/>
            <w:bottom w:w="0" w:type="dxa"/>
            <w:right w:w="108" w:type="dxa"/>
          </w:tblCellMar>
        </w:tblPrEx>
        <w:trPr>
          <w:trHeight w:val="720" w:hRule="atLeast"/>
          <w:jc w:val="center"/>
        </w:trPr>
        <w:tc>
          <w:tcPr>
            <w:tcW w:w="95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2</w:t>
            </w:r>
          </w:p>
        </w:tc>
        <w:tc>
          <w:tcPr>
            <w:tcW w:w="311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 xml:space="preserve">病史询问 </w:t>
            </w:r>
            <w:r>
              <w:rPr>
                <w:rFonts w:hint="default" w:ascii="Times New Roman" w:hAnsi="Times New Roman" w:eastAsia="宋体" w:cs="Times New Roman"/>
                <w:kern w:val="0"/>
                <w:sz w:val="21"/>
                <w:szCs w:val="21"/>
                <w:highlight w:val="none"/>
              </w:rPr>
              <w:t>(了解孕育史、疾病史、家族史、用药情况、生活习惯、饮食营养、环境危险因素等)</w:t>
            </w:r>
          </w:p>
        </w:tc>
        <w:tc>
          <w:tcPr>
            <w:tcW w:w="9915" w:type="dxa"/>
            <w:tcBorders>
              <w:top w:val="nil"/>
              <w:left w:val="nil"/>
              <w:bottom w:val="single" w:color="auto" w:sz="4" w:space="0"/>
              <w:right w:val="single" w:color="auto" w:sz="4" w:space="0"/>
            </w:tcBorders>
            <w:noWrap w:val="0"/>
            <w:vAlign w:val="center"/>
          </w:tcPr>
          <w:p>
            <w:pPr>
              <w:keepNext w:val="0"/>
              <w:keepLines w:val="0"/>
              <w:pageBreakBefore w:val="0"/>
              <w:widowControl/>
              <w:numPr>
                <w:ilvl w:val="0"/>
                <w:numId w:val="2"/>
              </w:numPr>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询问计划妊娠夫妇的健康状况及用药史。</w:t>
            </w:r>
          </w:p>
          <w:p>
            <w:pPr>
              <w:keepNext w:val="0"/>
              <w:keepLines w:val="0"/>
              <w:pageBreakBefore w:val="0"/>
              <w:widowControl/>
              <w:numPr>
                <w:ilvl w:val="0"/>
                <w:numId w:val="2"/>
              </w:numPr>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评估既往慢性疾病史、家族史和遗传病史，不宜妊娠者应及时告之。</w:t>
            </w:r>
          </w:p>
          <w:p>
            <w:pPr>
              <w:keepNext w:val="0"/>
              <w:keepLines w:val="0"/>
              <w:pageBreakBefore w:val="0"/>
              <w:widowControl/>
              <w:numPr>
                <w:ilvl w:val="0"/>
                <w:numId w:val="2"/>
              </w:numPr>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详细了解不良孕产史（各类流产≥3次，早产，围产儿死亡，出生缺陷，异位妊娠，滋养细胞疾病等）和前次分娩史，是否为瘢痕子宫；是否有盆腔手术史。</w:t>
            </w:r>
          </w:p>
          <w:p>
            <w:pPr>
              <w:keepNext w:val="0"/>
              <w:keepLines w:val="0"/>
              <w:pageBreakBefore w:val="0"/>
              <w:widowControl/>
              <w:numPr>
                <w:ilvl w:val="0"/>
                <w:numId w:val="2"/>
              </w:numPr>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生活方式、饮食营养、职业状况及工作环境、运动（劳动）情况、家庭暴力、人际关系等。</w:t>
            </w:r>
          </w:p>
        </w:tc>
      </w:tr>
      <w:tr>
        <w:tblPrEx>
          <w:tblLayout w:type="fixed"/>
          <w:tblCellMar>
            <w:top w:w="0" w:type="dxa"/>
            <w:left w:w="108" w:type="dxa"/>
            <w:bottom w:w="0" w:type="dxa"/>
            <w:right w:w="108" w:type="dxa"/>
          </w:tblCellMar>
        </w:tblPrEx>
        <w:trPr>
          <w:trHeight w:val="1860" w:hRule="atLeast"/>
          <w:jc w:val="center"/>
        </w:trPr>
        <w:tc>
          <w:tcPr>
            <w:tcW w:w="95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3</w:t>
            </w:r>
          </w:p>
        </w:tc>
        <w:tc>
          <w:tcPr>
            <w:tcW w:w="72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体格检查</w:t>
            </w:r>
          </w:p>
        </w:tc>
        <w:tc>
          <w:tcPr>
            <w:tcW w:w="23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常规检查（</w:t>
            </w:r>
            <w:r>
              <w:rPr>
                <w:rFonts w:hint="default" w:ascii="Times New Roman" w:hAnsi="Times New Roman" w:eastAsia="宋体" w:cs="Times New Roman"/>
                <w:kern w:val="0"/>
                <w:sz w:val="21"/>
                <w:szCs w:val="21"/>
                <w:highlight w:val="none"/>
              </w:rPr>
              <w:t>包括身高、体重、血压、心率、甲状腺触诊、心肺听诊、肝脏脾脏触诊、四肢脊柱检查等</w:t>
            </w:r>
            <w:r>
              <w:rPr>
                <w:rFonts w:hint="default" w:ascii="Times New Roman" w:hAnsi="Times New Roman" w:eastAsia="宋体" w:cs="Times New Roman"/>
                <w:b/>
                <w:bCs/>
                <w:kern w:val="0"/>
                <w:sz w:val="21"/>
                <w:szCs w:val="21"/>
                <w:highlight w:val="none"/>
              </w:rPr>
              <w:t>）</w:t>
            </w:r>
          </w:p>
        </w:tc>
        <w:tc>
          <w:tcPr>
            <w:tcW w:w="991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年龄：≥35岁，胎儿致畸率与年龄成正比，如果怀孕请产前诊断咨询，科学增补叶酸及微量元素；</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 xml:space="preserve">           ＜18岁，避免过早妊娠。</w:t>
            </w:r>
          </w:p>
          <w:p>
            <w:pPr>
              <w:keepNext w:val="0"/>
              <w:keepLines w:val="0"/>
              <w:pageBreakBefore w:val="0"/>
              <w:widowControl/>
              <w:numPr>
                <w:ilvl w:val="0"/>
                <w:numId w:val="3"/>
              </w:numPr>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身高：＜140cm，建议专科医院全面评估；</w:t>
            </w:r>
          </w:p>
          <w:p>
            <w:pPr>
              <w:keepNext w:val="0"/>
              <w:keepLines w:val="0"/>
              <w:pageBreakBefore w:val="0"/>
              <w:widowControl/>
              <w:numPr>
                <w:ilvl w:val="0"/>
                <w:numId w:val="3"/>
              </w:numPr>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体重：BMI＞25或＜18.5，建议在准备生育前改善饮食，合理营养，积极锻炼身体，以更好的身体状态积极备孕；</w:t>
            </w:r>
          </w:p>
          <w:p>
            <w:pPr>
              <w:keepNext w:val="0"/>
              <w:keepLines w:val="0"/>
              <w:pageBreakBefore w:val="0"/>
              <w:widowControl/>
              <w:numPr>
                <w:ilvl w:val="0"/>
                <w:numId w:val="3"/>
              </w:numPr>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血压：收缩压≥140mmHg和（或）舒张压≥90mmHg，建议低盐饮食，随访血压，内科指导诊疗；在专科医生指导下制定生育计划，准备生育前尽量将血压平稳控制在正常范围内；</w:t>
            </w:r>
          </w:p>
          <w:p>
            <w:pPr>
              <w:keepNext w:val="0"/>
              <w:keepLines w:val="0"/>
              <w:pageBreakBefore w:val="0"/>
              <w:widowControl/>
              <w:numPr>
                <w:ilvl w:val="0"/>
                <w:numId w:val="3"/>
              </w:numPr>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心率及心脏听诊：心率＜60次/分，或＞100次/分；心肺听诊异常，提示心脏有器质性或功能性病变，建议孕前至正规医院心内科就诊，进行心脏超声及24小时动态心电图检查，明确是否存在心脏疾病后由专科医生评估目前心脏健康状况是否适合怀孕，在医生指导下制定妊娠计划。怀孕后应加强孕期保健，密切监测心率水平；</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 xml:space="preserve">     肺部：听诊异常，提示呼吸系统疾病，建议呼吸内科就诊明确诊断。</w:t>
            </w:r>
          </w:p>
          <w:p>
            <w:pPr>
              <w:keepNext w:val="0"/>
              <w:keepLines w:val="0"/>
              <w:pageBreakBefore w:val="0"/>
              <w:widowControl/>
              <w:numPr>
                <w:ilvl w:val="0"/>
                <w:numId w:val="3"/>
              </w:numPr>
              <w:kinsoku/>
              <w:wordWrap/>
              <w:overflowPunct/>
              <w:topLinePunct w:val="0"/>
              <w:autoSpaceDE/>
              <w:autoSpaceDN/>
              <w:bidi w:val="0"/>
              <w:adjustRightInd/>
              <w:snapToGrid w:val="0"/>
              <w:spacing w:line="30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甲状腺触诊：甲状腺肿大或结节，建议甲状腺功能检测和甲状腺彩超检查，内分泌专科进一步检查；</w:t>
            </w:r>
          </w:p>
          <w:p>
            <w:pPr>
              <w:keepNext w:val="0"/>
              <w:keepLines w:val="0"/>
              <w:pageBreakBefore w:val="0"/>
              <w:widowControl/>
              <w:numPr>
                <w:ilvl w:val="0"/>
                <w:numId w:val="3"/>
              </w:numPr>
              <w:kinsoku/>
              <w:wordWrap/>
              <w:overflowPunct/>
              <w:topLinePunct w:val="0"/>
              <w:autoSpaceDE/>
              <w:autoSpaceDN/>
              <w:bidi w:val="0"/>
              <w:adjustRightInd/>
              <w:snapToGrid w:val="0"/>
              <w:spacing w:line="30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肝脏脾脏触诊：结合腹部B超检查及临床症状，明确病因，专科就诊；</w:t>
            </w:r>
          </w:p>
          <w:p>
            <w:pPr>
              <w:keepNext w:val="0"/>
              <w:keepLines w:val="0"/>
              <w:pageBreakBefore w:val="0"/>
              <w:widowControl/>
              <w:numPr>
                <w:ilvl w:val="0"/>
                <w:numId w:val="3"/>
              </w:numPr>
              <w:kinsoku/>
              <w:wordWrap/>
              <w:overflowPunct/>
              <w:topLinePunct w:val="0"/>
              <w:autoSpaceDE/>
              <w:autoSpaceDN/>
              <w:bidi w:val="0"/>
              <w:adjustRightInd/>
              <w:snapToGrid w:val="0"/>
              <w:spacing w:line="30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四肢脊柱检查：四肢关节、脊柱畸形或活动受限，建议专科就诊，进一步检查明确诊断；</w:t>
            </w:r>
          </w:p>
          <w:p>
            <w:pPr>
              <w:keepNext w:val="0"/>
              <w:keepLines w:val="0"/>
              <w:pageBreakBefore w:val="0"/>
              <w:widowControl/>
              <w:numPr>
                <w:ilvl w:val="0"/>
                <w:numId w:val="3"/>
              </w:numPr>
              <w:kinsoku/>
              <w:wordWrap/>
              <w:overflowPunct/>
              <w:topLinePunct w:val="0"/>
              <w:autoSpaceDE/>
              <w:autoSpaceDN/>
              <w:bidi w:val="0"/>
              <w:adjustRightInd/>
              <w:snapToGrid w:val="0"/>
              <w:spacing w:line="30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女性生殖系统检查：建议根据女性生殖系统检查及B超结果提示的具体异常类型，前往正规医院妇产科门诊就医，明确诊断后在妇产科医生治疗和指导下怀孕；</w:t>
            </w:r>
          </w:p>
          <w:p>
            <w:pPr>
              <w:keepNext w:val="0"/>
              <w:keepLines w:val="0"/>
              <w:pageBreakBefore w:val="0"/>
              <w:widowControl/>
              <w:numPr>
                <w:ilvl w:val="0"/>
                <w:numId w:val="3"/>
              </w:numPr>
              <w:kinsoku/>
              <w:wordWrap/>
              <w:overflowPunct/>
              <w:topLinePunct w:val="0"/>
              <w:autoSpaceDE/>
              <w:autoSpaceDN/>
              <w:bidi w:val="0"/>
              <w:adjustRightInd/>
              <w:snapToGrid w:val="0"/>
              <w:spacing w:line="30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男性生殖系统检查：男方生殖系统检查异常，可能会影响精子质量，建议到男性专科做进一步诊治。</w:t>
            </w:r>
          </w:p>
        </w:tc>
      </w:tr>
      <w:tr>
        <w:tblPrEx>
          <w:tblLayout w:type="fixed"/>
          <w:tblCellMar>
            <w:top w:w="0" w:type="dxa"/>
            <w:left w:w="108" w:type="dxa"/>
            <w:bottom w:w="0" w:type="dxa"/>
            <w:right w:w="108" w:type="dxa"/>
          </w:tblCellMar>
        </w:tblPrEx>
        <w:trPr>
          <w:trHeight w:val="2378" w:hRule="atLeast"/>
          <w:jc w:val="center"/>
        </w:trPr>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b/>
                <w:bCs/>
                <w:kern w:val="0"/>
                <w:sz w:val="21"/>
                <w:szCs w:val="21"/>
                <w:highlight w:val="none"/>
              </w:rPr>
            </w:pP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b/>
                <w:bCs/>
                <w:kern w:val="0"/>
                <w:sz w:val="21"/>
                <w:szCs w:val="21"/>
                <w:highlight w:val="none"/>
              </w:rPr>
            </w:pPr>
          </w:p>
        </w:tc>
        <w:tc>
          <w:tcPr>
            <w:tcW w:w="23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textAlignment w:val="auto"/>
              <w:rPr>
                <w:rFonts w:hint="default" w:ascii="Times New Roman" w:hAnsi="Times New Roman" w:eastAsia="宋体" w:cs="Times New Roman"/>
                <w:b/>
                <w:bCs/>
                <w:kern w:val="0"/>
                <w:sz w:val="21"/>
                <w:szCs w:val="21"/>
                <w:highlight w:val="none"/>
              </w:rPr>
            </w:pPr>
          </w:p>
          <w:p>
            <w:pPr>
              <w:keepNext w:val="0"/>
              <w:keepLines w:val="0"/>
              <w:pageBreakBefore w:val="0"/>
              <w:widowControl/>
              <w:kinsoku/>
              <w:wordWrap/>
              <w:overflowPunct/>
              <w:topLinePunct w:val="0"/>
              <w:autoSpaceDE/>
              <w:autoSpaceDN/>
              <w:bidi w:val="0"/>
              <w:adjustRightInd/>
              <w:snapToGrid w:val="0"/>
              <w:spacing w:line="240" w:lineRule="atLeast"/>
              <w:textAlignment w:val="auto"/>
              <w:rPr>
                <w:rFonts w:hint="default" w:ascii="Times New Roman" w:hAnsi="Times New Roman" w:eastAsia="宋体" w:cs="Times New Roman"/>
                <w:b/>
                <w:bCs/>
                <w:kern w:val="0"/>
                <w:sz w:val="21"/>
                <w:szCs w:val="21"/>
                <w:highlight w:val="none"/>
              </w:rPr>
            </w:pPr>
          </w:p>
          <w:p>
            <w:pPr>
              <w:keepNext w:val="0"/>
              <w:keepLines w:val="0"/>
              <w:pageBreakBefore w:val="0"/>
              <w:widowControl/>
              <w:kinsoku/>
              <w:wordWrap/>
              <w:overflowPunct/>
              <w:topLinePunct w:val="0"/>
              <w:autoSpaceDE/>
              <w:autoSpaceDN/>
              <w:bidi w:val="0"/>
              <w:adjustRightInd/>
              <w:snapToGrid w:val="0"/>
              <w:spacing w:line="240" w:lineRule="atLeast"/>
              <w:textAlignment w:val="auto"/>
              <w:rPr>
                <w:rFonts w:hint="default" w:ascii="Times New Roman" w:hAnsi="Times New Roman" w:eastAsia="宋体" w:cs="Times New Roman"/>
                <w:b/>
                <w:bCs/>
                <w:kern w:val="0"/>
                <w:sz w:val="21"/>
                <w:szCs w:val="21"/>
                <w:highlight w:val="none"/>
              </w:rPr>
            </w:pPr>
          </w:p>
          <w:p>
            <w:pPr>
              <w:keepNext w:val="0"/>
              <w:keepLines w:val="0"/>
              <w:pageBreakBefore w:val="0"/>
              <w:widowControl/>
              <w:kinsoku/>
              <w:wordWrap/>
              <w:overflowPunct/>
              <w:topLinePunct w:val="0"/>
              <w:autoSpaceDE/>
              <w:autoSpaceDN/>
              <w:bidi w:val="0"/>
              <w:adjustRightInd/>
              <w:snapToGrid w:val="0"/>
              <w:spacing w:line="240" w:lineRule="atLeast"/>
              <w:textAlignment w:val="auto"/>
              <w:rPr>
                <w:rFonts w:hint="default" w:ascii="Times New Roman" w:hAnsi="Times New Roman" w:eastAsia="宋体" w:cs="Times New Roman"/>
                <w:b/>
                <w:bCs/>
                <w:kern w:val="0"/>
                <w:sz w:val="21"/>
                <w:szCs w:val="21"/>
                <w:highlight w:val="none"/>
              </w:rPr>
            </w:pPr>
          </w:p>
          <w:p>
            <w:pPr>
              <w:keepNext w:val="0"/>
              <w:keepLines w:val="0"/>
              <w:pageBreakBefore w:val="0"/>
              <w:widowControl/>
              <w:kinsoku/>
              <w:wordWrap/>
              <w:overflowPunct/>
              <w:topLinePunct w:val="0"/>
              <w:autoSpaceDE/>
              <w:autoSpaceDN/>
              <w:bidi w:val="0"/>
              <w:adjustRightInd/>
              <w:snapToGrid w:val="0"/>
              <w:spacing w:line="240" w:lineRule="atLeast"/>
              <w:textAlignment w:val="auto"/>
              <w:rPr>
                <w:rFonts w:hint="default" w:ascii="Times New Roman" w:hAnsi="Times New Roman" w:eastAsia="宋体" w:cs="Times New Roman"/>
                <w:b/>
                <w:bCs/>
                <w:kern w:val="0"/>
                <w:sz w:val="21"/>
                <w:szCs w:val="21"/>
                <w:highlight w:val="none"/>
              </w:rPr>
            </w:pPr>
          </w:p>
          <w:p>
            <w:pPr>
              <w:keepNext w:val="0"/>
              <w:keepLines w:val="0"/>
              <w:pageBreakBefore w:val="0"/>
              <w:widowControl/>
              <w:kinsoku/>
              <w:wordWrap/>
              <w:overflowPunct/>
              <w:topLinePunct w:val="0"/>
              <w:autoSpaceDE/>
              <w:autoSpaceDN/>
              <w:bidi w:val="0"/>
              <w:adjustRightInd/>
              <w:snapToGrid w:val="0"/>
              <w:spacing w:line="240" w:lineRule="atLeast"/>
              <w:textAlignment w:val="auto"/>
              <w:rPr>
                <w:rFonts w:hint="default" w:ascii="Times New Roman" w:hAnsi="Times New Roman" w:eastAsia="宋体" w:cs="Times New Roman"/>
                <w:b/>
                <w:bCs/>
                <w:kern w:val="0"/>
                <w:sz w:val="21"/>
                <w:szCs w:val="21"/>
                <w:highlight w:val="none"/>
              </w:rPr>
            </w:pPr>
          </w:p>
          <w:p>
            <w:pPr>
              <w:keepNext w:val="0"/>
              <w:keepLines w:val="0"/>
              <w:pageBreakBefore w:val="0"/>
              <w:widowControl/>
              <w:kinsoku/>
              <w:wordWrap/>
              <w:overflowPunct/>
              <w:topLinePunct w:val="0"/>
              <w:autoSpaceDE/>
              <w:autoSpaceDN/>
              <w:bidi w:val="0"/>
              <w:adjustRightInd/>
              <w:snapToGrid w:val="0"/>
              <w:spacing w:line="240" w:lineRule="atLeast"/>
              <w:textAlignment w:val="auto"/>
              <w:rPr>
                <w:rFonts w:hint="default" w:ascii="Times New Roman" w:hAnsi="Times New Roman" w:eastAsia="宋体" w:cs="Times New Roman"/>
                <w:b/>
                <w:bCs/>
                <w:kern w:val="0"/>
                <w:sz w:val="21"/>
                <w:szCs w:val="21"/>
                <w:highlight w:val="none"/>
              </w:rPr>
            </w:pPr>
          </w:p>
        </w:tc>
        <w:tc>
          <w:tcPr>
            <w:tcW w:w="99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宋体" w:cs="Times New Roman"/>
                <w:kern w:val="0"/>
                <w:sz w:val="21"/>
                <w:szCs w:val="21"/>
                <w:highlight w:val="none"/>
              </w:rPr>
            </w:pPr>
          </w:p>
        </w:tc>
      </w:tr>
      <w:tr>
        <w:tblPrEx>
          <w:tblLayout w:type="fixed"/>
          <w:tblCellMar>
            <w:top w:w="0" w:type="dxa"/>
            <w:left w:w="108" w:type="dxa"/>
            <w:bottom w:w="0" w:type="dxa"/>
            <w:right w:w="108" w:type="dxa"/>
          </w:tblCellMar>
        </w:tblPrEx>
        <w:trPr>
          <w:trHeight w:val="586" w:hRule="atLeast"/>
          <w:jc w:val="center"/>
        </w:trPr>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b/>
                <w:bCs/>
                <w:kern w:val="0"/>
                <w:sz w:val="21"/>
                <w:szCs w:val="21"/>
                <w:highlight w:val="none"/>
              </w:rPr>
            </w:pP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b/>
                <w:bCs/>
                <w:kern w:val="0"/>
                <w:sz w:val="21"/>
                <w:szCs w:val="21"/>
                <w:highlight w:val="none"/>
              </w:rPr>
            </w:pPr>
          </w:p>
        </w:tc>
        <w:tc>
          <w:tcPr>
            <w:tcW w:w="23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女性生殖系统检查</w:t>
            </w:r>
          </w:p>
        </w:tc>
        <w:tc>
          <w:tcPr>
            <w:tcW w:w="99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宋体" w:cs="Times New Roman"/>
                <w:kern w:val="0"/>
                <w:sz w:val="21"/>
                <w:szCs w:val="21"/>
                <w:highlight w:val="none"/>
              </w:rPr>
            </w:pPr>
          </w:p>
        </w:tc>
      </w:tr>
      <w:tr>
        <w:tblPrEx>
          <w:tblLayout w:type="fixed"/>
          <w:tblCellMar>
            <w:top w:w="0" w:type="dxa"/>
            <w:left w:w="108" w:type="dxa"/>
            <w:bottom w:w="0" w:type="dxa"/>
            <w:right w:w="108" w:type="dxa"/>
          </w:tblCellMar>
        </w:tblPrEx>
        <w:trPr>
          <w:trHeight w:val="480" w:hRule="atLeast"/>
          <w:jc w:val="center"/>
        </w:trPr>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b/>
                <w:bCs/>
                <w:kern w:val="0"/>
                <w:sz w:val="21"/>
                <w:szCs w:val="21"/>
                <w:highlight w:val="none"/>
              </w:rPr>
            </w:pP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b/>
                <w:bCs/>
                <w:kern w:val="0"/>
                <w:sz w:val="21"/>
                <w:szCs w:val="21"/>
                <w:highlight w:val="none"/>
              </w:rPr>
            </w:pPr>
          </w:p>
        </w:tc>
        <w:tc>
          <w:tcPr>
            <w:tcW w:w="23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男性生殖系统检查</w:t>
            </w:r>
          </w:p>
        </w:tc>
        <w:tc>
          <w:tcPr>
            <w:tcW w:w="99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宋体" w:cs="Times New Roman"/>
                <w:kern w:val="0"/>
                <w:sz w:val="21"/>
                <w:szCs w:val="21"/>
                <w:highlight w:val="none"/>
              </w:rPr>
            </w:pPr>
          </w:p>
        </w:tc>
      </w:tr>
      <w:tr>
        <w:tblPrEx>
          <w:tblLayout w:type="fixed"/>
          <w:tblCellMar>
            <w:top w:w="0" w:type="dxa"/>
            <w:left w:w="108" w:type="dxa"/>
            <w:bottom w:w="0" w:type="dxa"/>
            <w:right w:w="108" w:type="dxa"/>
          </w:tblCellMar>
        </w:tblPrEx>
        <w:trPr>
          <w:trHeight w:val="657" w:hRule="atLeast"/>
          <w:jc w:val="center"/>
        </w:trPr>
        <w:tc>
          <w:tcPr>
            <w:tcW w:w="95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4</w:t>
            </w:r>
          </w:p>
        </w:tc>
        <w:tc>
          <w:tcPr>
            <w:tcW w:w="72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实验室检查11项</w:t>
            </w:r>
          </w:p>
        </w:tc>
        <w:tc>
          <w:tcPr>
            <w:tcW w:w="43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阴道分泌物</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白带常规检查</w:t>
            </w:r>
          </w:p>
        </w:tc>
        <w:tc>
          <w:tcPr>
            <w:tcW w:w="991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4"/>
              </w:numPr>
              <w:kinsoku/>
              <w:wordWrap/>
              <w:overflowPunct/>
              <w:topLinePunct w:val="0"/>
              <w:autoSpaceDE/>
              <w:autoSpaceDN/>
              <w:bidi w:val="0"/>
              <w:adjustRightInd/>
              <w:snapToGrid w:val="0"/>
              <w:spacing w:line="30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白带常规：细菌性阴道炎：治疗阴道炎，治疗期间避免性生活，复查白带正常后再怀孕。念珠菌性阴道炎：注意卫生及外阴干燥，内裤宜棉织品，勤换勤洗，无症状者可以备孕；有症状者，按医嘱用药后再怀孕。</w:t>
            </w:r>
          </w:p>
          <w:p>
            <w:pPr>
              <w:keepNext w:val="0"/>
              <w:keepLines w:val="0"/>
              <w:pageBreakBefore w:val="0"/>
              <w:widowControl/>
              <w:numPr>
                <w:ilvl w:val="0"/>
                <w:numId w:val="4"/>
              </w:numPr>
              <w:kinsoku/>
              <w:wordWrap/>
              <w:overflowPunct/>
              <w:topLinePunct w:val="0"/>
              <w:autoSpaceDE/>
              <w:autoSpaceDN/>
              <w:bidi w:val="0"/>
              <w:adjustRightInd/>
              <w:snapToGrid w:val="0"/>
              <w:spacing w:line="30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淋球菌：若为阳性，则应前往正规医院性病科门诊就医，明确诊断后对症治疗。暂缓性生活，对方检查淋球菌，待淋球菌检测结果转阴后在医生指导下怀孕。</w:t>
            </w:r>
          </w:p>
          <w:p>
            <w:pPr>
              <w:keepNext w:val="0"/>
              <w:keepLines w:val="0"/>
              <w:pageBreakBefore w:val="0"/>
              <w:widowControl/>
              <w:numPr>
                <w:ilvl w:val="0"/>
                <w:numId w:val="4"/>
              </w:numPr>
              <w:kinsoku/>
              <w:wordWrap/>
              <w:overflowPunct/>
              <w:topLinePunct w:val="0"/>
              <w:autoSpaceDE/>
              <w:autoSpaceDN/>
              <w:bidi w:val="0"/>
              <w:adjustRightInd/>
              <w:snapToGrid w:val="0"/>
              <w:spacing w:line="30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沙眼衣原体：宫颈衣原体感染可引起流产、宫内感染，转性病专科门诊诊治，治愈后再怀孕；建议宫颈炎防治知识，定期复查TCT；请受检者自己将病情告知对方，暂缓性生活，对方检查衣原体。</w:t>
            </w:r>
          </w:p>
        </w:tc>
      </w:tr>
      <w:tr>
        <w:tblPrEx>
          <w:tblLayout w:type="fixed"/>
          <w:tblCellMar>
            <w:top w:w="0" w:type="dxa"/>
            <w:left w:w="108" w:type="dxa"/>
            <w:bottom w:w="0" w:type="dxa"/>
            <w:right w:w="108" w:type="dxa"/>
          </w:tblCellMar>
        </w:tblPrEx>
        <w:trPr>
          <w:trHeight w:val="567" w:hRule="atLeast"/>
          <w:jc w:val="center"/>
        </w:trPr>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b/>
                <w:bCs/>
                <w:kern w:val="0"/>
                <w:sz w:val="21"/>
                <w:szCs w:val="21"/>
                <w:highlight w:val="none"/>
              </w:rPr>
            </w:pP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b/>
                <w:bCs/>
                <w:kern w:val="0"/>
                <w:sz w:val="21"/>
                <w:szCs w:val="21"/>
                <w:highlight w:val="none"/>
              </w:rPr>
            </w:pPr>
          </w:p>
        </w:tc>
        <w:tc>
          <w:tcPr>
            <w:tcW w:w="4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b/>
                <w:bCs/>
                <w:kern w:val="0"/>
                <w:sz w:val="21"/>
                <w:szCs w:val="21"/>
                <w:highlight w:val="none"/>
              </w:rPr>
            </w:pPr>
          </w:p>
        </w:tc>
        <w:tc>
          <w:tcPr>
            <w:tcW w:w="1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淋球菌检测</w:t>
            </w:r>
          </w:p>
        </w:tc>
        <w:tc>
          <w:tcPr>
            <w:tcW w:w="99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宋体" w:cs="Times New Roman"/>
                <w:kern w:val="0"/>
                <w:sz w:val="21"/>
                <w:szCs w:val="21"/>
                <w:highlight w:val="none"/>
              </w:rPr>
            </w:pPr>
          </w:p>
        </w:tc>
      </w:tr>
      <w:tr>
        <w:tblPrEx>
          <w:tblLayout w:type="fixed"/>
          <w:tblCellMar>
            <w:top w:w="0" w:type="dxa"/>
            <w:left w:w="108" w:type="dxa"/>
            <w:bottom w:w="0" w:type="dxa"/>
            <w:right w:w="108" w:type="dxa"/>
          </w:tblCellMar>
        </w:tblPrEx>
        <w:trPr>
          <w:trHeight w:val="480" w:hRule="atLeast"/>
          <w:jc w:val="center"/>
        </w:trPr>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b/>
                <w:bCs/>
                <w:kern w:val="0"/>
                <w:sz w:val="21"/>
                <w:szCs w:val="21"/>
                <w:highlight w:val="none"/>
              </w:rPr>
            </w:pP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b/>
                <w:bCs/>
                <w:kern w:val="0"/>
                <w:sz w:val="21"/>
                <w:szCs w:val="21"/>
                <w:highlight w:val="none"/>
              </w:rPr>
            </w:pPr>
          </w:p>
        </w:tc>
        <w:tc>
          <w:tcPr>
            <w:tcW w:w="4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b/>
                <w:bCs/>
                <w:kern w:val="0"/>
                <w:sz w:val="21"/>
                <w:szCs w:val="21"/>
                <w:highlight w:val="none"/>
              </w:rPr>
            </w:pPr>
          </w:p>
        </w:tc>
        <w:tc>
          <w:tcPr>
            <w:tcW w:w="1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沙眼衣原体检测</w:t>
            </w:r>
          </w:p>
        </w:tc>
        <w:tc>
          <w:tcPr>
            <w:tcW w:w="99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宋体" w:cs="Times New Roman"/>
                <w:kern w:val="0"/>
                <w:sz w:val="21"/>
                <w:szCs w:val="21"/>
                <w:highlight w:val="none"/>
              </w:rPr>
            </w:pPr>
          </w:p>
        </w:tc>
      </w:tr>
      <w:tr>
        <w:tblPrEx>
          <w:tblLayout w:type="fixed"/>
          <w:tblCellMar>
            <w:top w:w="0" w:type="dxa"/>
            <w:left w:w="108" w:type="dxa"/>
            <w:bottom w:w="0" w:type="dxa"/>
            <w:right w:w="108" w:type="dxa"/>
          </w:tblCellMar>
        </w:tblPrEx>
        <w:trPr>
          <w:trHeight w:val="1182"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5</w:t>
            </w: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b/>
                <w:bCs/>
                <w:kern w:val="0"/>
                <w:sz w:val="21"/>
                <w:szCs w:val="21"/>
                <w:highlight w:val="none"/>
              </w:rPr>
            </w:pPr>
          </w:p>
        </w:tc>
        <w:tc>
          <w:tcPr>
            <w:tcW w:w="23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血液常规检验</w:t>
            </w:r>
            <w:r>
              <w:rPr>
                <w:rFonts w:hint="default" w:ascii="Times New Roman" w:hAnsi="Times New Roman" w:eastAsia="宋体" w:cs="Times New Roman"/>
                <w:kern w:val="0"/>
                <w:sz w:val="21"/>
                <w:szCs w:val="21"/>
                <w:highlight w:val="none"/>
              </w:rPr>
              <w:t>（血红蛋白、红细胞、白细胞及分类、血小板）</w:t>
            </w:r>
          </w:p>
        </w:tc>
        <w:tc>
          <w:tcPr>
            <w:tcW w:w="9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5"/>
              </w:numPr>
              <w:kinsoku/>
              <w:wordWrap/>
              <w:overflowPunct/>
              <w:topLinePunct w:val="0"/>
              <w:autoSpaceDE/>
              <w:autoSpaceDN/>
              <w:bidi w:val="0"/>
              <w:adjustRightInd/>
              <w:snapToGrid w:val="0"/>
              <w:spacing w:line="30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血红蛋白：HB＜110g/L，建议完善贫血相关检查，查找原因并及时针对病因治疗。</w:t>
            </w:r>
          </w:p>
          <w:p>
            <w:pPr>
              <w:keepNext w:val="0"/>
              <w:keepLines w:val="0"/>
              <w:pageBreakBefore w:val="0"/>
              <w:widowControl/>
              <w:numPr>
                <w:ilvl w:val="0"/>
                <w:numId w:val="5"/>
              </w:numPr>
              <w:kinsoku/>
              <w:wordWrap/>
              <w:overflowPunct/>
              <w:topLinePunct w:val="0"/>
              <w:autoSpaceDE/>
              <w:autoSpaceDN/>
              <w:bidi w:val="0"/>
              <w:adjustRightInd/>
              <w:snapToGrid w:val="0"/>
              <w:spacing w:line="30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红细胞：红细胞平均体积（MCV）≤82fl或者平均红细胞血红蛋白量（MCH）≤27.0pg为地中海贫血筛查异常，双方应进一步检测分析；</w:t>
            </w: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（3）白细胞及分类：结果异常，建议复查，结合临床，必要时内科就诊；若白细胞持续升高，建议血液科就诊；</w:t>
            </w: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（4）血小板减少：提示血小板生成障碍或破坏消耗过多；血小板增多：提示原发性或反应性增多。结合临床症状，建议血液内科就诊明确诊断。</w:t>
            </w:r>
          </w:p>
        </w:tc>
      </w:tr>
      <w:tr>
        <w:tblPrEx>
          <w:tblLayout w:type="fixed"/>
          <w:tblCellMar>
            <w:top w:w="0" w:type="dxa"/>
            <w:left w:w="108" w:type="dxa"/>
            <w:bottom w:w="0" w:type="dxa"/>
            <w:right w:w="108" w:type="dxa"/>
          </w:tblCellMar>
        </w:tblPrEx>
        <w:trPr>
          <w:trHeight w:val="652"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6</w:t>
            </w: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宋体" w:cs="Times New Roman"/>
                <w:b/>
                <w:bCs/>
                <w:kern w:val="0"/>
                <w:sz w:val="21"/>
                <w:szCs w:val="21"/>
                <w:highlight w:val="none"/>
              </w:rPr>
            </w:pPr>
          </w:p>
        </w:tc>
        <w:tc>
          <w:tcPr>
            <w:tcW w:w="23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地中海贫血筛查</w:t>
            </w:r>
          </w:p>
        </w:tc>
        <w:tc>
          <w:tcPr>
            <w:tcW w:w="9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（1）夫妇双方或其中一方红细胞平均体积（MCV）＜82fl或者平均红细胞血红蛋白量（MCH）＜27.0pg为地中海贫血初筛异常，双方应进一步血红蛋白分析；</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（2）夫妇双方血红蛋白分析血红蛋白A2（HbA2）高于或低于正常参考值，或出现了其他异常血红蛋白区带为血红蛋白分析阳性，双方应进一步地中海贫血基因检测；</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（3）双方携带同型地贫基因，怀孕后应在适宜时期尽早进行产前诊断，避免出生重型地贫患儿。</w:t>
            </w:r>
          </w:p>
        </w:tc>
      </w:tr>
      <w:tr>
        <w:tblPrEx>
          <w:tblLayout w:type="fixed"/>
          <w:tblCellMar>
            <w:top w:w="0" w:type="dxa"/>
            <w:left w:w="108" w:type="dxa"/>
            <w:bottom w:w="0" w:type="dxa"/>
            <w:right w:w="108" w:type="dxa"/>
          </w:tblCellMar>
        </w:tblPrEx>
        <w:trPr>
          <w:trHeight w:val="387"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7</w:t>
            </w: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宋体" w:cs="Times New Roman"/>
                <w:b/>
                <w:bCs/>
                <w:kern w:val="0"/>
                <w:sz w:val="21"/>
                <w:szCs w:val="21"/>
                <w:highlight w:val="none"/>
              </w:rPr>
            </w:pPr>
          </w:p>
        </w:tc>
        <w:tc>
          <w:tcPr>
            <w:tcW w:w="23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尿液常规检验</w:t>
            </w:r>
          </w:p>
        </w:tc>
        <w:tc>
          <w:tcPr>
            <w:tcW w:w="9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检验结果异常，提示可能有泌尿生殖道感染或肾功能异常，建议做进一步检查。</w:t>
            </w:r>
          </w:p>
        </w:tc>
      </w:tr>
      <w:tr>
        <w:tblPrEx>
          <w:tblLayout w:type="fixed"/>
          <w:tblCellMar>
            <w:top w:w="0" w:type="dxa"/>
            <w:left w:w="108" w:type="dxa"/>
            <w:bottom w:w="0" w:type="dxa"/>
            <w:right w:w="108" w:type="dxa"/>
          </w:tblCellMar>
        </w:tblPrEx>
        <w:trPr>
          <w:trHeight w:val="816"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8</w:t>
            </w: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宋体" w:cs="Times New Roman"/>
                <w:b/>
                <w:bCs/>
                <w:kern w:val="0"/>
                <w:sz w:val="21"/>
                <w:szCs w:val="21"/>
                <w:highlight w:val="none"/>
              </w:rPr>
            </w:pPr>
          </w:p>
        </w:tc>
        <w:tc>
          <w:tcPr>
            <w:tcW w:w="23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血型（</w:t>
            </w:r>
            <w:r>
              <w:rPr>
                <w:rFonts w:hint="default" w:ascii="Times New Roman" w:hAnsi="Times New Roman" w:eastAsia="宋体" w:cs="Times New Roman"/>
                <w:kern w:val="0"/>
                <w:sz w:val="21"/>
                <w:szCs w:val="21"/>
                <w:highlight w:val="none"/>
              </w:rPr>
              <w:t>包括ABO血型和Rh阳/阴性）</w:t>
            </w:r>
          </w:p>
        </w:tc>
        <w:tc>
          <w:tcPr>
            <w:tcW w:w="9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6"/>
              </w:numPr>
              <w:kinsoku/>
              <w:wordWrap/>
              <w:overflowPunct/>
              <w:topLinePunct w:val="0"/>
              <w:autoSpaceDE/>
              <w:autoSpaceDN/>
              <w:bidi w:val="0"/>
              <w:adjustRightInd/>
              <w:snapToGrid w:val="0"/>
              <w:spacing w:line="32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女方O型血，男方非O型血：孕期有发生ABO血型不合的可能，引起胎儿和新生儿溶血等不良后果。建议孕期检查母体血抗A或抗B抗体效价等检查，由产科医生诊治。</w:t>
            </w:r>
          </w:p>
          <w:p>
            <w:pPr>
              <w:keepNext w:val="0"/>
              <w:keepLines w:val="0"/>
              <w:pageBreakBefore w:val="0"/>
              <w:widowControl/>
              <w:numPr>
                <w:ilvl w:val="0"/>
                <w:numId w:val="6"/>
              </w:numPr>
              <w:kinsoku/>
              <w:wordWrap/>
              <w:overflowPunct/>
              <w:topLinePunct w:val="0"/>
              <w:autoSpaceDE/>
              <w:autoSpaceDN/>
              <w:bidi w:val="0"/>
              <w:adjustRightInd/>
              <w:snapToGrid w:val="0"/>
              <w:spacing w:line="32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女方为Rh阴性血型，男方为Rh阳性血型，属于母儿血型不合的一种。建议在准备怀孕前密切监测抗D抗体滴度变化，必要时注射抗D球蛋白，由产科专科医生评估。</w:t>
            </w:r>
          </w:p>
        </w:tc>
      </w:tr>
      <w:tr>
        <w:tblPrEx>
          <w:tblLayout w:type="fixed"/>
          <w:tblCellMar>
            <w:top w:w="0" w:type="dxa"/>
            <w:left w:w="108" w:type="dxa"/>
            <w:bottom w:w="0" w:type="dxa"/>
            <w:right w:w="108" w:type="dxa"/>
          </w:tblCellMar>
        </w:tblPrEx>
        <w:trPr>
          <w:trHeight w:val="705"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9</w:t>
            </w: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宋体" w:cs="Times New Roman"/>
                <w:b/>
                <w:bCs/>
                <w:kern w:val="0"/>
                <w:sz w:val="21"/>
                <w:szCs w:val="21"/>
                <w:highlight w:val="none"/>
              </w:rPr>
            </w:pPr>
          </w:p>
        </w:tc>
        <w:tc>
          <w:tcPr>
            <w:tcW w:w="23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血清葡萄糖测定</w:t>
            </w:r>
          </w:p>
        </w:tc>
        <w:tc>
          <w:tcPr>
            <w:tcW w:w="9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血糖偏高，建议完善OGTT、糖化血红蛋白，明确是否存在糖尿病；建议营养科就诊，进行饮食指导，加强运动量，定期监测血糖情况，必要时内分泌科就诊。</w:t>
            </w:r>
          </w:p>
        </w:tc>
      </w:tr>
      <w:tr>
        <w:tblPrEx>
          <w:tblLayout w:type="fixed"/>
          <w:tblCellMar>
            <w:top w:w="0" w:type="dxa"/>
            <w:left w:w="108" w:type="dxa"/>
            <w:bottom w:w="0" w:type="dxa"/>
            <w:right w:w="108" w:type="dxa"/>
          </w:tblCellMar>
        </w:tblPrEx>
        <w:trPr>
          <w:trHeight w:val="465"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10</w:t>
            </w: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宋体" w:cs="Times New Roman"/>
                <w:b/>
                <w:bCs/>
                <w:kern w:val="0"/>
                <w:sz w:val="21"/>
                <w:szCs w:val="21"/>
                <w:highlight w:val="none"/>
              </w:rPr>
            </w:pPr>
          </w:p>
        </w:tc>
        <w:tc>
          <w:tcPr>
            <w:tcW w:w="23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肝功能检测</w:t>
            </w:r>
            <w:r>
              <w:rPr>
                <w:rFonts w:hint="default" w:ascii="Times New Roman" w:hAnsi="Times New Roman" w:eastAsia="宋体" w:cs="Times New Roman"/>
                <w:kern w:val="0"/>
                <w:sz w:val="21"/>
                <w:szCs w:val="21"/>
                <w:highlight w:val="none"/>
              </w:rPr>
              <w:t>（谷丙转氨酶）</w:t>
            </w:r>
          </w:p>
        </w:tc>
        <w:tc>
          <w:tcPr>
            <w:tcW w:w="9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7"/>
              </w:numPr>
              <w:kinsoku/>
              <w:wordWrap/>
              <w:overflowPunct/>
              <w:topLinePunct w:val="0"/>
              <w:autoSpaceDE/>
              <w:autoSpaceDN/>
              <w:bidi w:val="0"/>
              <w:adjustRightInd/>
              <w:snapToGrid w:val="0"/>
              <w:spacing w:line="32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谷丙转氨酶升高，提示可能有肝功能异常，需排除慢性肝炎、脂肪肝、肝硬化、肝癌等疾病，建议到医院专科门诊进一步诊治，建议治愈并停药3个月以上再生育。</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（2）注意休息，避免劳累，多吃新鲜水果，戒烟。</w:t>
            </w:r>
          </w:p>
        </w:tc>
      </w:tr>
      <w:tr>
        <w:tblPrEx>
          <w:tblLayout w:type="fixed"/>
          <w:tblCellMar>
            <w:top w:w="0" w:type="dxa"/>
            <w:left w:w="108" w:type="dxa"/>
            <w:bottom w:w="0" w:type="dxa"/>
            <w:right w:w="108" w:type="dxa"/>
          </w:tblCellMar>
        </w:tblPrEx>
        <w:trPr>
          <w:trHeight w:val="378"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11</w:t>
            </w: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宋体" w:cs="Times New Roman"/>
                <w:b/>
                <w:bCs/>
                <w:kern w:val="0"/>
                <w:sz w:val="21"/>
                <w:szCs w:val="21"/>
                <w:highlight w:val="none"/>
              </w:rPr>
            </w:pPr>
          </w:p>
        </w:tc>
        <w:tc>
          <w:tcPr>
            <w:tcW w:w="23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乙型肝炎血清学五项检测</w:t>
            </w:r>
          </w:p>
        </w:tc>
        <w:tc>
          <w:tcPr>
            <w:tcW w:w="9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8"/>
              </w:numPr>
              <w:kinsoku/>
              <w:wordWrap/>
              <w:overflowPunct/>
              <w:topLinePunct w:val="0"/>
              <w:autoSpaceDE/>
              <w:autoSpaceDN/>
              <w:bidi w:val="0"/>
              <w:adjustRightInd/>
              <w:snapToGrid w:val="0"/>
              <w:spacing w:line="32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乙肝全阴：建议接种乙肝疫苗，并定期复查。</w:t>
            </w:r>
          </w:p>
          <w:p>
            <w:pPr>
              <w:keepNext w:val="0"/>
              <w:keepLines w:val="0"/>
              <w:pageBreakBefore w:val="0"/>
              <w:widowControl/>
              <w:numPr>
                <w:ilvl w:val="0"/>
                <w:numId w:val="8"/>
              </w:numPr>
              <w:kinsoku/>
              <w:wordWrap/>
              <w:overflowPunct/>
              <w:topLinePunct w:val="0"/>
              <w:autoSpaceDE/>
              <w:autoSpaceDN/>
              <w:bidi w:val="0"/>
              <w:adjustRightInd/>
              <w:snapToGrid w:val="0"/>
              <w:spacing w:line="32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乙肝携带：乙肝防治知识、乙肝DNA定量检查，定期复查肝功，必要时专科诊治。</w:t>
            </w:r>
          </w:p>
          <w:p>
            <w:pPr>
              <w:keepNext w:val="0"/>
              <w:keepLines w:val="0"/>
              <w:pageBreakBefore w:val="0"/>
              <w:widowControl/>
              <w:numPr>
                <w:ilvl w:val="0"/>
                <w:numId w:val="8"/>
              </w:numPr>
              <w:kinsoku/>
              <w:wordWrap/>
              <w:overflowPunct/>
              <w:topLinePunct w:val="0"/>
              <w:autoSpaceDE/>
              <w:autoSpaceDN/>
              <w:bidi w:val="0"/>
              <w:adjustRightInd/>
              <w:snapToGrid w:val="0"/>
              <w:spacing w:line="32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乙型病毒性肝炎：乙肝防治知识、乙肝DNA定量检查，肝功能异常暂不宜妊娠，转诊肝病专科诊治；请将病情告知对方。</w:t>
            </w:r>
          </w:p>
        </w:tc>
      </w:tr>
      <w:tr>
        <w:tblPrEx>
          <w:tblLayout w:type="fixed"/>
          <w:tblCellMar>
            <w:top w:w="0" w:type="dxa"/>
            <w:left w:w="108" w:type="dxa"/>
            <w:bottom w:w="0" w:type="dxa"/>
            <w:right w:w="108" w:type="dxa"/>
          </w:tblCellMar>
        </w:tblPrEx>
        <w:trPr>
          <w:trHeight w:val="508"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12</w:t>
            </w: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宋体" w:cs="Times New Roman"/>
                <w:b/>
                <w:bCs/>
                <w:kern w:val="0"/>
                <w:sz w:val="21"/>
                <w:szCs w:val="21"/>
                <w:highlight w:val="none"/>
              </w:rPr>
            </w:pPr>
          </w:p>
        </w:tc>
        <w:tc>
          <w:tcPr>
            <w:tcW w:w="23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肾功能检测</w:t>
            </w:r>
            <w:r>
              <w:rPr>
                <w:rFonts w:hint="default" w:ascii="Times New Roman" w:hAnsi="Times New Roman" w:eastAsia="宋体" w:cs="Times New Roman"/>
                <w:kern w:val="0"/>
                <w:sz w:val="21"/>
                <w:szCs w:val="21"/>
                <w:highlight w:val="none"/>
              </w:rPr>
              <w:t>（肌酐）</w:t>
            </w:r>
          </w:p>
        </w:tc>
        <w:tc>
          <w:tcPr>
            <w:tcW w:w="9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肌酐偏高，建议复查，如果连续升高者请往肾病专科诊治。</w:t>
            </w:r>
          </w:p>
        </w:tc>
      </w:tr>
      <w:tr>
        <w:tblPrEx>
          <w:tblLayout w:type="fixed"/>
          <w:tblCellMar>
            <w:top w:w="0" w:type="dxa"/>
            <w:left w:w="108" w:type="dxa"/>
            <w:bottom w:w="0" w:type="dxa"/>
            <w:right w:w="108" w:type="dxa"/>
          </w:tblCellMar>
        </w:tblPrEx>
        <w:trPr>
          <w:trHeight w:val="685"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13</w:t>
            </w: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宋体" w:cs="Times New Roman"/>
                <w:b/>
                <w:bCs/>
                <w:kern w:val="0"/>
                <w:sz w:val="21"/>
                <w:szCs w:val="21"/>
                <w:highlight w:val="none"/>
              </w:rPr>
            </w:pPr>
          </w:p>
        </w:tc>
        <w:tc>
          <w:tcPr>
            <w:tcW w:w="23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甲状腺功能检测</w:t>
            </w:r>
            <w:r>
              <w:rPr>
                <w:rFonts w:hint="default" w:ascii="Times New Roman" w:hAnsi="Times New Roman" w:eastAsia="宋体" w:cs="Times New Roman"/>
                <w:kern w:val="0"/>
                <w:sz w:val="21"/>
                <w:szCs w:val="21"/>
                <w:highlight w:val="none"/>
              </w:rPr>
              <w:t>（促甲状腺激素）</w:t>
            </w:r>
          </w:p>
        </w:tc>
        <w:tc>
          <w:tcPr>
            <w:tcW w:w="9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促甲状腺激素异常，建议甲状腺功能检测和甲状腺彩超检查，内分泌专科进一步诊治；</w:t>
            </w:r>
          </w:p>
        </w:tc>
      </w:tr>
      <w:tr>
        <w:tblPrEx>
          <w:tblLayout w:type="fixed"/>
          <w:tblCellMar>
            <w:top w:w="0" w:type="dxa"/>
            <w:left w:w="108" w:type="dxa"/>
            <w:bottom w:w="0" w:type="dxa"/>
            <w:right w:w="108" w:type="dxa"/>
          </w:tblCellMar>
        </w:tblPrEx>
        <w:trPr>
          <w:trHeight w:val="667"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14</w:t>
            </w: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宋体" w:cs="Times New Roman"/>
                <w:b/>
                <w:bCs/>
                <w:kern w:val="0"/>
                <w:sz w:val="21"/>
                <w:szCs w:val="21"/>
                <w:highlight w:val="none"/>
              </w:rPr>
            </w:pPr>
          </w:p>
        </w:tc>
        <w:tc>
          <w:tcPr>
            <w:tcW w:w="23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G－6PD缺乏症检测</w:t>
            </w:r>
          </w:p>
        </w:tc>
        <w:tc>
          <w:tcPr>
            <w:tcW w:w="9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G6PD缺乏需要注意饮食和慎重使用药物，本人或配偶怀孕时要将病情告知产检医师，以采取有效措施预防后代发生新生儿核黄疸。</w:t>
            </w:r>
          </w:p>
        </w:tc>
      </w:tr>
      <w:tr>
        <w:tblPrEx>
          <w:tblLayout w:type="fixed"/>
          <w:tblCellMar>
            <w:top w:w="0" w:type="dxa"/>
            <w:left w:w="108" w:type="dxa"/>
            <w:bottom w:w="0" w:type="dxa"/>
            <w:right w:w="108" w:type="dxa"/>
          </w:tblCellMar>
        </w:tblPrEx>
        <w:trPr>
          <w:trHeight w:val="1078" w:hRule="atLeast"/>
          <w:jc w:val="center"/>
        </w:trPr>
        <w:tc>
          <w:tcPr>
            <w:tcW w:w="95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15</w:t>
            </w:r>
          </w:p>
        </w:tc>
        <w:tc>
          <w:tcPr>
            <w:tcW w:w="72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病毒筛查4项</w:t>
            </w:r>
          </w:p>
        </w:tc>
        <w:tc>
          <w:tcPr>
            <w:tcW w:w="43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梅毒螺旋体筛查</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Cs/>
                <w:kern w:val="0"/>
                <w:sz w:val="21"/>
                <w:szCs w:val="21"/>
                <w:highlight w:val="none"/>
              </w:rPr>
            </w:pPr>
            <w:r>
              <w:rPr>
                <w:rFonts w:hint="default" w:ascii="Times New Roman" w:hAnsi="Times New Roman" w:eastAsia="宋体" w:cs="Times New Roman"/>
                <w:bCs/>
                <w:color w:val="000000"/>
                <w:kern w:val="0"/>
                <w:sz w:val="21"/>
                <w:szCs w:val="21"/>
                <w:highlight w:val="none"/>
              </w:rPr>
              <w:t>梅毒螺旋体血清学检测</w:t>
            </w:r>
          </w:p>
        </w:tc>
        <w:tc>
          <w:tcPr>
            <w:tcW w:w="991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（1）</w:t>
            </w:r>
            <w:r>
              <w:rPr>
                <w:rFonts w:hint="default" w:ascii="Times New Roman" w:hAnsi="Times New Roman" w:eastAsia="宋体" w:cs="Times New Roman"/>
                <w:bCs/>
                <w:color w:val="000000"/>
                <w:kern w:val="0"/>
                <w:sz w:val="21"/>
                <w:szCs w:val="21"/>
                <w:highlight w:val="none"/>
              </w:rPr>
              <w:t>梅毒螺旋体血清学检测</w:t>
            </w:r>
            <w:r>
              <w:rPr>
                <w:rFonts w:hint="default" w:ascii="Times New Roman" w:hAnsi="Times New Roman" w:eastAsia="宋体" w:cs="Times New Roman"/>
                <w:kern w:val="0"/>
                <w:sz w:val="21"/>
                <w:szCs w:val="21"/>
                <w:highlight w:val="none"/>
              </w:rPr>
              <w:t>(+)，</w:t>
            </w:r>
            <w:r>
              <w:rPr>
                <w:rFonts w:hint="default" w:ascii="Times New Roman" w:hAnsi="Times New Roman" w:eastAsia="宋体" w:cs="Times New Roman"/>
                <w:bCs/>
                <w:color w:val="000000"/>
                <w:kern w:val="0"/>
                <w:sz w:val="21"/>
                <w:szCs w:val="21"/>
                <w:highlight w:val="none"/>
              </w:rPr>
              <w:t>非梅毒螺旋体血清学检测</w:t>
            </w:r>
            <w:r>
              <w:rPr>
                <w:rFonts w:hint="default" w:ascii="Times New Roman" w:hAnsi="Times New Roman" w:eastAsia="宋体" w:cs="Times New Roman"/>
                <w:kern w:val="0"/>
                <w:sz w:val="21"/>
                <w:szCs w:val="21"/>
                <w:highlight w:val="none"/>
              </w:rPr>
              <w:t>(+)：梅毒感染，建议专科就诊，尽快治疗。确认妊娠后需定期复查血清中抗体的动态变化，孕期母胎阻断治疗。</w:t>
            </w:r>
          </w:p>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（2）</w:t>
            </w:r>
            <w:r>
              <w:rPr>
                <w:rFonts w:hint="default" w:ascii="Times New Roman" w:hAnsi="Times New Roman" w:eastAsia="宋体" w:cs="Times New Roman"/>
                <w:bCs/>
                <w:color w:val="000000"/>
                <w:kern w:val="0"/>
                <w:sz w:val="21"/>
                <w:szCs w:val="21"/>
                <w:highlight w:val="none"/>
              </w:rPr>
              <w:t>梅毒螺旋体血清学检测</w:t>
            </w:r>
            <w:r>
              <w:rPr>
                <w:rFonts w:hint="default" w:ascii="Times New Roman" w:hAnsi="Times New Roman" w:eastAsia="宋体" w:cs="Times New Roman"/>
                <w:kern w:val="0"/>
                <w:sz w:val="21"/>
                <w:szCs w:val="21"/>
                <w:highlight w:val="none"/>
              </w:rPr>
              <w:t>(+)，</w:t>
            </w:r>
            <w:r>
              <w:rPr>
                <w:rFonts w:hint="default" w:ascii="Times New Roman" w:hAnsi="Times New Roman" w:eastAsia="宋体" w:cs="Times New Roman"/>
                <w:bCs/>
                <w:color w:val="000000"/>
                <w:kern w:val="0"/>
                <w:sz w:val="21"/>
                <w:szCs w:val="21"/>
                <w:highlight w:val="none"/>
              </w:rPr>
              <w:t>非梅毒螺旋体血清学检测</w:t>
            </w:r>
            <w:r>
              <w:rPr>
                <w:rFonts w:hint="default" w:ascii="Times New Roman" w:hAnsi="Times New Roman" w:eastAsia="宋体" w:cs="Times New Roman"/>
                <w:kern w:val="0"/>
                <w:sz w:val="21"/>
                <w:szCs w:val="21"/>
                <w:highlight w:val="none"/>
              </w:rPr>
              <w:t>(-)：专科就诊，早期梅毒或既往感染。如为孕妇则应立即接受1个疗程治疗，并每月进行</w:t>
            </w:r>
            <w:r>
              <w:rPr>
                <w:rFonts w:hint="default" w:ascii="Times New Roman" w:hAnsi="Times New Roman" w:eastAsia="宋体" w:cs="Times New Roman"/>
                <w:bCs/>
                <w:color w:val="000000"/>
                <w:kern w:val="0"/>
                <w:sz w:val="21"/>
                <w:szCs w:val="21"/>
                <w:highlight w:val="none"/>
              </w:rPr>
              <w:t>非梅毒螺旋体血清学</w:t>
            </w:r>
            <w:r>
              <w:rPr>
                <w:rFonts w:hint="default" w:ascii="Times New Roman" w:hAnsi="Times New Roman" w:eastAsia="宋体" w:cs="Times New Roman"/>
                <w:kern w:val="0"/>
                <w:sz w:val="21"/>
                <w:szCs w:val="21"/>
                <w:highlight w:val="none"/>
              </w:rPr>
              <w:t>定量检测。</w:t>
            </w:r>
          </w:p>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（3）</w:t>
            </w:r>
            <w:r>
              <w:rPr>
                <w:rFonts w:hint="default" w:ascii="Times New Roman" w:hAnsi="Times New Roman" w:eastAsia="宋体" w:cs="Times New Roman"/>
                <w:bCs/>
                <w:color w:val="000000"/>
                <w:kern w:val="0"/>
                <w:sz w:val="21"/>
                <w:szCs w:val="21"/>
                <w:highlight w:val="none"/>
              </w:rPr>
              <w:t>梅毒螺旋体血清学检测</w:t>
            </w:r>
            <w:r>
              <w:rPr>
                <w:rFonts w:hint="default" w:ascii="Times New Roman" w:hAnsi="Times New Roman" w:eastAsia="宋体" w:cs="Times New Roman"/>
                <w:kern w:val="0"/>
                <w:sz w:val="21"/>
                <w:szCs w:val="21"/>
                <w:highlight w:val="none"/>
              </w:rPr>
              <w:t>(-)，</w:t>
            </w:r>
            <w:r>
              <w:rPr>
                <w:rFonts w:hint="default" w:ascii="Times New Roman" w:hAnsi="Times New Roman" w:eastAsia="宋体" w:cs="Times New Roman"/>
                <w:bCs/>
                <w:color w:val="000000"/>
                <w:kern w:val="0"/>
                <w:sz w:val="21"/>
                <w:szCs w:val="21"/>
                <w:highlight w:val="none"/>
              </w:rPr>
              <w:t>非梅毒螺旋体血清学检测</w:t>
            </w:r>
            <w:r>
              <w:rPr>
                <w:rFonts w:hint="default" w:ascii="Times New Roman" w:hAnsi="Times New Roman" w:eastAsia="宋体" w:cs="Times New Roman"/>
                <w:kern w:val="0"/>
                <w:sz w:val="21"/>
                <w:szCs w:val="21"/>
                <w:highlight w:val="none"/>
              </w:rPr>
              <w:t>(+)：排除梅毒感染，考虑其他原因：如妊娠、风湿性关节炎、结核、疟疾等。</w:t>
            </w:r>
          </w:p>
          <w:p>
            <w:pPr>
              <w:keepNext w:val="0"/>
              <w:keepLines w:val="0"/>
              <w:pageBreakBefore w:val="0"/>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（4）</w:t>
            </w:r>
            <w:r>
              <w:rPr>
                <w:rFonts w:hint="default" w:ascii="Times New Roman" w:hAnsi="Times New Roman" w:eastAsia="宋体" w:cs="Times New Roman"/>
                <w:bCs/>
                <w:color w:val="000000"/>
                <w:kern w:val="0"/>
                <w:sz w:val="21"/>
                <w:szCs w:val="21"/>
                <w:highlight w:val="none"/>
              </w:rPr>
              <w:t>梅毒螺旋体血清学检测</w:t>
            </w:r>
            <w:r>
              <w:rPr>
                <w:rFonts w:hint="default" w:ascii="Times New Roman" w:hAnsi="Times New Roman" w:eastAsia="宋体" w:cs="Times New Roman"/>
                <w:kern w:val="0"/>
                <w:sz w:val="21"/>
                <w:szCs w:val="21"/>
                <w:highlight w:val="none"/>
              </w:rPr>
              <w:t>(-)，</w:t>
            </w:r>
            <w:r>
              <w:rPr>
                <w:rFonts w:hint="default" w:ascii="Times New Roman" w:hAnsi="Times New Roman" w:eastAsia="宋体" w:cs="Times New Roman"/>
                <w:bCs/>
                <w:color w:val="000000"/>
                <w:kern w:val="0"/>
                <w:sz w:val="21"/>
                <w:szCs w:val="21"/>
                <w:highlight w:val="none"/>
              </w:rPr>
              <w:t>非梅毒螺旋体血清学检测</w:t>
            </w:r>
            <w:r>
              <w:rPr>
                <w:rFonts w:hint="default" w:ascii="Times New Roman" w:hAnsi="Times New Roman" w:eastAsia="宋体" w:cs="Times New Roman"/>
                <w:kern w:val="0"/>
                <w:sz w:val="21"/>
                <w:szCs w:val="21"/>
                <w:highlight w:val="none"/>
              </w:rPr>
              <w:t>(-)：排除梅毒感染。高危人群可再次复查。</w:t>
            </w:r>
          </w:p>
        </w:tc>
      </w:tr>
      <w:tr>
        <w:tblPrEx>
          <w:tblLayout w:type="fixed"/>
          <w:tblCellMar>
            <w:top w:w="0" w:type="dxa"/>
            <w:left w:w="108" w:type="dxa"/>
            <w:bottom w:w="0" w:type="dxa"/>
            <w:right w:w="108" w:type="dxa"/>
          </w:tblCellMar>
        </w:tblPrEx>
        <w:trPr>
          <w:trHeight w:val="349" w:hRule="atLeast"/>
          <w:jc w:val="center"/>
        </w:trPr>
        <w:tc>
          <w:tcPr>
            <w:tcW w:w="95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bCs/>
                <w:kern w:val="0"/>
                <w:sz w:val="21"/>
                <w:szCs w:val="21"/>
                <w:highlight w:val="none"/>
              </w:rPr>
            </w:pP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bCs/>
                <w:kern w:val="0"/>
                <w:sz w:val="21"/>
                <w:szCs w:val="21"/>
                <w:highlight w:val="none"/>
              </w:rPr>
            </w:pPr>
          </w:p>
        </w:tc>
        <w:tc>
          <w:tcPr>
            <w:tcW w:w="4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textAlignment w:val="auto"/>
              <w:rPr>
                <w:rFonts w:hint="default" w:ascii="Times New Roman" w:hAnsi="Times New Roman" w:eastAsia="宋体" w:cs="Times New Roman"/>
                <w:b/>
                <w:bCs/>
                <w:kern w:val="0"/>
                <w:sz w:val="21"/>
                <w:szCs w:val="21"/>
                <w:highlight w:val="none"/>
              </w:rPr>
            </w:pPr>
          </w:p>
        </w:tc>
        <w:tc>
          <w:tcPr>
            <w:tcW w:w="1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Cs/>
                <w:kern w:val="0"/>
                <w:sz w:val="21"/>
                <w:szCs w:val="21"/>
                <w:highlight w:val="none"/>
                <w:u w:val="single"/>
              </w:rPr>
            </w:pPr>
            <w:r>
              <w:rPr>
                <w:rFonts w:hint="default" w:ascii="Times New Roman" w:hAnsi="Times New Roman" w:eastAsia="宋体" w:cs="Times New Roman"/>
                <w:bCs/>
                <w:color w:val="000000"/>
                <w:kern w:val="0"/>
                <w:sz w:val="21"/>
                <w:szCs w:val="21"/>
                <w:highlight w:val="none"/>
              </w:rPr>
              <w:t>非梅毒螺旋体血清学检测</w:t>
            </w:r>
          </w:p>
        </w:tc>
        <w:tc>
          <w:tcPr>
            <w:tcW w:w="99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kern w:val="0"/>
                <w:sz w:val="21"/>
                <w:szCs w:val="21"/>
                <w:highlight w:val="none"/>
              </w:rPr>
            </w:pPr>
          </w:p>
        </w:tc>
      </w:tr>
      <w:tr>
        <w:tblPrEx>
          <w:tblLayout w:type="fixed"/>
          <w:tblCellMar>
            <w:top w:w="0" w:type="dxa"/>
            <w:left w:w="108" w:type="dxa"/>
            <w:bottom w:w="0" w:type="dxa"/>
            <w:right w:w="108" w:type="dxa"/>
          </w:tblCellMar>
        </w:tblPrEx>
        <w:trPr>
          <w:trHeight w:val="782"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16</w:t>
            </w: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b/>
                <w:bCs/>
                <w:kern w:val="0"/>
                <w:sz w:val="21"/>
                <w:szCs w:val="21"/>
                <w:highlight w:val="none"/>
              </w:rPr>
            </w:pPr>
          </w:p>
        </w:tc>
        <w:tc>
          <w:tcPr>
            <w:tcW w:w="23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风疹病毒IgG抗体测定</w:t>
            </w:r>
          </w:p>
        </w:tc>
        <w:tc>
          <w:tcPr>
            <w:tcW w:w="9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（1）IgG(-)，IgM(-)：建议详细询问月经史，排除妊娠及可疑妊娠后可接种风疹疫苗；接种风疹疫苗3个月后再怀孕。</w:t>
            </w:r>
          </w:p>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（2）IgG(-)，IgM(+)：提示近期感染，建议暂不宜怀孕，须监测转阴后再准备怀孕。</w:t>
            </w:r>
          </w:p>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（3）IgG(+)，IgM(-)：提示既往感染，可以怀孕，为一般人群。</w:t>
            </w:r>
          </w:p>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（4）IgG(+)，IgM(+)：提示近期感染，建议暂不宜怀孕，须监测转阴后再准备怀孕。</w:t>
            </w:r>
          </w:p>
        </w:tc>
      </w:tr>
      <w:tr>
        <w:tblPrEx>
          <w:tblLayout w:type="fixed"/>
          <w:tblCellMar>
            <w:top w:w="0" w:type="dxa"/>
            <w:left w:w="108" w:type="dxa"/>
            <w:bottom w:w="0" w:type="dxa"/>
            <w:right w:w="108" w:type="dxa"/>
          </w:tblCellMar>
        </w:tblPrEx>
        <w:trPr>
          <w:trHeight w:val="824"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17</w:t>
            </w: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b/>
                <w:bCs/>
                <w:kern w:val="0"/>
                <w:sz w:val="21"/>
                <w:szCs w:val="21"/>
                <w:highlight w:val="none"/>
              </w:rPr>
            </w:pPr>
          </w:p>
        </w:tc>
        <w:tc>
          <w:tcPr>
            <w:tcW w:w="23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巨细胞病毒IgM抗体和IgG抗体测定</w:t>
            </w:r>
          </w:p>
        </w:tc>
        <w:tc>
          <w:tcPr>
            <w:tcW w:w="9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1）IgM（+），IgG阴性或阳性：提示近期感染巨细胞病毒，考虑巨细胞病毒感染可引起流产、早产、宫内死胎、胎儿小头畸形及智力低下、听力损害、颅内钙化、脉络膜视网膜炎等等胎儿异常情况，建议暂不宜怀孕，备孕期请去医院就诊进行优生咨询。</w:t>
            </w:r>
          </w:p>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（2）IgG（+），IgM阴性：既往感染巨细胞病毒，目前体内存在保护性抗体，属于正常人群，对妊娠无影响。</w:t>
            </w:r>
          </w:p>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（3）IgG阴性，IgM阴性：未曾感染巨细胞病毒，属于正常人群。</w:t>
            </w:r>
          </w:p>
        </w:tc>
      </w:tr>
      <w:tr>
        <w:tblPrEx>
          <w:tblLayout w:type="fixed"/>
          <w:tblCellMar>
            <w:top w:w="0" w:type="dxa"/>
            <w:left w:w="108" w:type="dxa"/>
            <w:bottom w:w="0" w:type="dxa"/>
            <w:right w:w="108" w:type="dxa"/>
          </w:tblCellMar>
        </w:tblPrEx>
        <w:trPr>
          <w:trHeight w:val="582"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18</w:t>
            </w: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b/>
                <w:bCs/>
                <w:kern w:val="0"/>
                <w:sz w:val="21"/>
                <w:szCs w:val="21"/>
                <w:highlight w:val="none"/>
              </w:rPr>
            </w:pPr>
          </w:p>
        </w:tc>
        <w:tc>
          <w:tcPr>
            <w:tcW w:w="23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弓形体IgM和IgG抗体测定</w:t>
            </w:r>
          </w:p>
        </w:tc>
        <w:tc>
          <w:tcPr>
            <w:tcW w:w="9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1）IgM（+），IgG阴性或阳性：提示近期感染弓形虫，考虑弓形虫感染可引起流产、宫内死胎、胎儿小头畸形、脑积水、无脑儿、智力低下、视力损害、脉络膜视网膜炎等等胎儿异常情况，建议暂不宜怀孕，备孕期请去医院就诊进行优生咨询。</w:t>
            </w:r>
          </w:p>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（2）IgG（+），IgM阴性：既往感染弓形虫，目前体内存在保护性抗体，属于正常人群，不影响妊娠。</w:t>
            </w:r>
          </w:p>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（3）IgG阴性，IgM阴性：未曾感染弓形虫，属于正常人群。</w:t>
            </w:r>
          </w:p>
        </w:tc>
      </w:tr>
      <w:tr>
        <w:tblPrEx>
          <w:tblLayout w:type="fixed"/>
          <w:tblCellMar>
            <w:top w:w="0" w:type="dxa"/>
            <w:left w:w="108" w:type="dxa"/>
            <w:bottom w:w="0" w:type="dxa"/>
            <w:right w:w="108" w:type="dxa"/>
          </w:tblCellMar>
        </w:tblPrEx>
        <w:trPr>
          <w:trHeight w:val="558"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19</w:t>
            </w:r>
          </w:p>
        </w:tc>
        <w:tc>
          <w:tcPr>
            <w:tcW w:w="7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影像1项</w:t>
            </w:r>
          </w:p>
        </w:tc>
        <w:tc>
          <w:tcPr>
            <w:tcW w:w="23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ind w:firstLine="211" w:firstLineChars="100"/>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妇科超声常规检查</w:t>
            </w:r>
          </w:p>
        </w:tc>
        <w:tc>
          <w:tcPr>
            <w:tcW w:w="99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根据妇科检查结果提示的具体异常类型，前往正规医院妇产科门诊就医，明确诊断后在妇产科医生治疗和指导下怀孕。</w:t>
            </w:r>
          </w:p>
        </w:tc>
      </w:tr>
      <w:tr>
        <w:tblPrEx>
          <w:tblLayout w:type="fixed"/>
          <w:tblCellMar>
            <w:top w:w="0" w:type="dxa"/>
            <w:left w:w="108" w:type="dxa"/>
            <w:bottom w:w="0" w:type="dxa"/>
            <w:right w:w="108" w:type="dxa"/>
          </w:tblCellMar>
        </w:tblPrEx>
        <w:trPr>
          <w:trHeight w:val="905"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20</w:t>
            </w:r>
          </w:p>
        </w:tc>
        <w:tc>
          <w:tcPr>
            <w:tcW w:w="311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风险评估和咨询指导</w:t>
            </w:r>
          </w:p>
        </w:tc>
        <w:tc>
          <w:tcPr>
            <w:tcW w:w="99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1.生育计划与生育间隔：</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（1）35岁以下排卵正常的女性，没有明确的不孕危险因素，12个月未避孕未妊娠应及时进行生育评估；</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（2）＞36岁排卵正常的女性，没有明确的不孕危险因素，6个月未避孕未妊娠应及时进行生育评估；</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（3）不排卵并且有明确不孕风险因素的女性应及时评估并给予治疗，应及时转诊到生殖医学中心就诊；</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（4）两次妊娠间隔时间不少于6个月，妊娠间隔＜18个月的女性应进行风险和益处评估；</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（5）选择辅助生殖技术受孕的不孕症患者，两次妊娠间隔时间应＜18个月＞6个月。</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2.疾病、外伤以及精神疾病病史的评估</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（1）孕前糖尿病：孕前及孕期进行血糖控制、体重管理，应检查视网膜、24h蛋白尿以及心电图等潜在的血管病变可能，甲状腺功能紊乱也是孕前糖尿病的常见并发症，因此，应进行甲状腺功能筛查；目的是将 HbA1C 控制到＜6.5%，从而减少先天畸形风险；</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2）慢性高血压：评估高血压药物的致畸风险，妊娠期禁用血管紧张素转换酶抑制剂和血管紧张素受体阻滞剂；对长期高血压或高血压控制不佳的女性应评估是否有终末器官损害，例如心室肥大、视网膜病变和肾功能不全等；</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（3）甲状腺功能减退：对于计划妊娠的患者，应考虑根据危险因素进行筛查，而不是全面筛查；目标：孕前如果促甲状腺激素高于正常值上限应进行药物治疗至正常水平；</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（4）减肥手术：减肥术后应咨询避孕方法，口服避孕药可能存在吸收不良等风险，因此建议非口服避孕药或长效可逆避孕；</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（5）情感障碍：有孕妇自残、情感淡漠等情况，可能影响胎儿，抗抑郁药和抗精神药物有增加排卵障碍和降低生育能力的风险；</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6）获得性免疫缺陷综合征（AIDS）：感染人类免疫缺陷病毒（HIV）的女性应接受孕前咨询，内容包括减少垂直传播的干预措施和抗逆转录病毒药物对胎儿的潜在影响，妊娠前3个月不应停止用药，并应定期随访；HIV 血清单阳配偶也应就性传播和围产期传播风险进行咨询，未感染 HIV的女性与已知感染 HIV 的男性性伴侣应被列为暴露前预防对象，目前每日口服暴露前预防药物对于妊娠期和哺乳期的影响研究有限，但是替诺福韦和恩曲他滨联合用药在妊娠期的使用相对安全；目的是妊娠前将血浆病毒载量抑制到检测下限并需要专业的保健医生进行咨询；</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（7）易栓症：妊娠期制定血栓预防计划；</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（8）既往妊娠并发症：孕前评估再发风险。</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3.用药评估</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（1）使用致畸药物时应采取可靠的避孕措施，有生育计划时在停止避孕前，应调整潜在致畸药物的用量。</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（2）孕期必须给药治疗某种疾病时，应使用最安全药物的最低有效剂量。</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4.家族与遗传病史的评估</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（1）有生育遗传病患儿的风险人群夫妇应进行孕前筛查；</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（2）当夫妻一方或双方被诊断出有任何遗传病携带时，建议遗传咨询，以了解下一代的患病风险并作出完全知情的生育决定。</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（3）患有特定遗传病风险的夫妇可就疾病的遗传方式和病程进行咨询，并提供潜在干预措施的推荐，如用捐赠的卵子或精子、辅助生殖技术助孕前及选择进行胚胎植入前基因诊断等。</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5.感染性疾病筛查</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（1）孕前应对淋病，衣原体感染，梅毒和人类免疫缺陷病毒等性传播疾病进行筛查，并提供降低性传播疾病风险的咨询及宣教。</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（2）育龄期女性每年应对破伤风类毒素、白喉类毒素和百日咳（TDAP）、麻疹-腮腺炎-风疹、乙型肝炎和水痘等免疫接种情况进行评估。</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（3）有弓形虫暴露风险的女性应进行评估及咨询，制定宣教计划并建议避免接触被弓形虫感染的猫、食用生的或未熟的肉制品，从而减少先天性弓形虫感染。</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（4）肺结核风险人群患者应在孕前进行筛查并治疗。</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（5）在流感高发季节，所有妊娠或计划妊娠的女性建议接种流感疫苗。</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6.HIV感染患者</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（1）任何有生育计划的HIV 感染患者都应接受抗逆转录病毒治疗，并在妊娠前将血浆病毒载量抑制到检测下限。</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（2）如果未感染艾滋病毒的女性与已感染的男性伴侣计划妊娠前，应被转诊到传染病或生殖内分泌和不孕方面的专家处进行咨询。</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（3）人工授精是HIV 感染夫妇妊娠最安全的受孕方法，同时将HIV病毒传播给未感染伴侣的风险降至最低。</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（4）对有生育能力的女性患者选择抗逆转录病毒治疗时应考虑到方案的有效性、乙肝感染状况、药物的致畸潜力、潜在的药物相互作用以及可能出现的不良妊娠结局。</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7.药物滥用及其他危害</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（1）保健人员在孕前咨询时应常规询问所有患者是否使用乙醇、尼古丁和药物，包括阿片类的处方药和其他非医疗用途的药物。</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2）妊娠期间没有安全的饮酒量或饮酒类型，与乙醇有关的出生缺陷包括生长畸形、面部畸形、中枢神经系统损伤、行为障碍和智力发育障碍。在妊娠的任何阶段乙醇都会影响胎儿，产前乙醇暴露导致的认知缺陷和行为问题影响终生。</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8.亲密伴侣暴力、生育控制及性暴力</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（1）孕前咨询应对是否存在家庭暴力进行评估及筛查。</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（2）最常见的生育控制包括破坏避孕工具、强迫妊娠等。如果发现有患者被持续性虐待，应对患者及其家人的安全进行评估，并为其提供社会帮助。</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9.营养状况的评估</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（1）女性在妊娠前应补充叶酸以减少神经管畸形风险。所有育龄女性（15～45岁）应该在孕前补充叶酸（400μg/d）。</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（2）神经管畸形风险人群的女性（包括曾生育过神经管畸形患儿的孕妇或患有癫痫的孕妇）叶酸服用量应增加至4mg/d。</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具有神经管畸形风险人群的孕妇不建议通过大量服用复合维生素补充叶酸，避免达到维生素A的有害水平。</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（3）有进食障碍风险的患者应接受筛查和咨询。患有吸收障碍性胃肠疾病、减肥手术或素食者可能需要补充维生素和矿物质。</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（4）孕前咨询时应评估患者的饮食和维生素补充情况，以确定是否满足钙、铁、维生素A、维生素B12、维生素B、维生素D和其他营养素指南推荐的每日摄入量。</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10.维持健康体重</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（1）计划妊娠前应将BMI 维持在正常范围内，因为过高或过低BMI 与不孕及妊娠并发症相关。</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2）孕前体重超标或肥胖，可增加子代成年后的患病风险。主要相关并发症包括不孕、流产、出生缺陷、早产、妊娠期糖尿病、妊娠期高血压疾病、剖宫产和血栓栓塞疾病。另外，肥胖还会增加非生育相关疾病的风险，包括中风、心脏病、某些类型的癌症、关节炎、高胆固醇、高血压和糖尿病等。孕前低体重或孕期体重增加不足是小于胎龄儿以及低出生体重儿风险的独立危险因素。</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11.体育运动的评估</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孕前、孕期和产后女性应进行每天至少30min的体育锻炼，每周5天或不少于150min的运动。</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12.环境暴露和职业危害的评估</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（1）鼓励在孕前进行环境暴露和职业危害的识别并进行宣教避免接触有毒物质，必要时可进行职业医学规划。</w:t>
            </w:r>
          </w:p>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2）妊娠期间有潜在危险暴露的就业部门包括农业（农药）、制造业（有机溶剂和重金属）、干洗（溶剂）和医疗保健（生物制品和辐射）。所有孕妇均可能接触过以上的有毒化学物质，并达到危害生殖健康或生长发育的水平。从事化学实验或农业生产的女性需要识别具有潜在生殖毒性的药品，减少职业暴露。</w:t>
            </w:r>
          </w:p>
        </w:tc>
      </w:tr>
      <w:tr>
        <w:tblPrEx>
          <w:tblLayout w:type="fixed"/>
          <w:tblCellMar>
            <w:top w:w="0" w:type="dxa"/>
            <w:left w:w="108" w:type="dxa"/>
            <w:bottom w:w="0" w:type="dxa"/>
            <w:right w:w="108" w:type="dxa"/>
          </w:tblCellMar>
        </w:tblPrEx>
        <w:trPr>
          <w:trHeight w:val="805" w:hRule="atLeast"/>
          <w:jc w:val="center"/>
        </w:trPr>
        <w:tc>
          <w:tcPr>
            <w:tcW w:w="95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21</w:t>
            </w:r>
          </w:p>
        </w:tc>
        <w:tc>
          <w:tcPr>
            <w:tcW w:w="311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早孕和妊娠结局随访</w:t>
            </w:r>
          </w:p>
        </w:tc>
        <w:tc>
          <w:tcPr>
            <w:tcW w:w="99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女性在计划妊娠前应寻求医疗保健，或在认为自己妊娠后尽快就诊，帮助确定正确的孕周，以便将孕前治疗某种疾病的药物更换为已知在妊娠期更为安全的药物。为孕早期管理潜在的妊娠并发症和分娩适应证提供有用的价值。</w:t>
            </w:r>
          </w:p>
        </w:tc>
      </w:tr>
      <w:tr>
        <w:tblPrEx>
          <w:tblLayout w:type="fixed"/>
          <w:tblCellMar>
            <w:top w:w="0" w:type="dxa"/>
            <w:left w:w="108" w:type="dxa"/>
            <w:bottom w:w="0" w:type="dxa"/>
            <w:right w:w="108" w:type="dxa"/>
          </w:tblCellMar>
        </w:tblPrEx>
        <w:trPr>
          <w:trHeight w:val="383" w:hRule="atLeast"/>
          <w:jc w:val="center"/>
        </w:trPr>
        <w:tc>
          <w:tcPr>
            <w:tcW w:w="95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22</w:t>
            </w:r>
          </w:p>
        </w:tc>
        <w:tc>
          <w:tcPr>
            <w:tcW w:w="311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艾滋病检查</w:t>
            </w:r>
          </w:p>
        </w:tc>
        <w:tc>
          <w:tcPr>
            <w:tcW w:w="99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（1）所有计划妊娠的HIV感染妇女都应接受抗病毒治疗（ART）；</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（2）单阳（男阴女阳）：女方接受ART且HIV载量已经控制的情况下可选择体外授精；</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（3）单阳（男阳女阴）：选择捐赠精子人工授精可以完全避免HIV传播的风险；如果不接受捐赠精子，在男方进行ART达到持续病毒抑制(血浆HIV病毒载量＜50拷贝/mL)后，可考虑在排卵期进行自然受孕；</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（4）双阳：双方接受ART且HIV病毒载量达到持续抑制的情况下在女方排卵期自然受孕。</w:t>
            </w:r>
          </w:p>
        </w:tc>
      </w:tr>
      <w:tr>
        <w:tblPrEx>
          <w:tblLayout w:type="fixed"/>
          <w:tblCellMar>
            <w:top w:w="0" w:type="dxa"/>
            <w:left w:w="108" w:type="dxa"/>
            <w:bottom w:w="0" w:type="dxa"/>
            <w:right w:w="108" w:type="dxa"/>
          </w:tblCellMar>
        </w:tblPrEx>
        <w:trPr>
          <w:trHeight w:val="645" w:hRule="atLeast"/>
          <w:jc w:val="center"/>
        </w:trPr>
        <w:tc>
          <w:tcPr>
            <w:tcW w:w="95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23（选做）</w:t>
            </w:r>
          </w:p>
        </w:tc>
        <w:tc>
          <w:tcPr>
            <w:tcW w:w="311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胸部DR（</w:t>
            </w:r>
            <w:r>
              <w:rPr>
                <w:rFonts w:hint="default" w:ascii="Times New Roman" w:hAnsi="Times New Roman" w:eastAsia="宋体" w:cs="Times New Roman"/>
                <w:color w:val="000000"/>
                <w:kern w:val="0"/>
                <w:sz w:val="21"/>
                <w:szCs w:val="21"/>
                <w:highlight w:val="none"/>
              </w:rPr>
              <w:t>数字化X射线摄影</w:t>
            </w:r>
            <w:r>
              <w:rPr>
                <w:rFonts w:hint="default" w:ascii="Times New Roman" w:hAnsi="Times New Roman" w:eastAsia="宋体" w:cs="Times New Roman"/>
                <w:b/>
                <w:bCs/>
                <w:kern w:val="0"/>
                <w:sz w:val="21"/>
                <w:szCs w:val="21"/>
                <w:highlight w:val="none"/>
              </w:rPr>
              <w:t>）</w:t>
            </w:r>
          </w:p>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或胸部透视</w:t>
            </w:r>
          </w:p>
        </w:tc>
        <w:tc>
          <w:tcPr>
            <w:tcW w:w="99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 xml:space="preserve">（1）妊娠期病情需要且有检查指征时，超声、MRI检查仍然是优先考虑的检查手段。 </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 xml:space="preserve">（2）用于诊断的辐射性影像学检查相对安全。当病情需要时，建议采用单次或低剂量的辐射性影像学检查。对于有肺部疾病、尤其是发热或伴有流行病史怀疑新型冠状病毒感染孕妇，建议行X射线、CT等胸部影像学检查，以便准确地评估病情。检查前应获得孕妇知情同意。 </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 xml:space="preserve">（3）目前，临床用于诊断的X射线、CT和核素显像辐射剂量通常小于以往报道的胎儿致畸剂量。故单次辐射性影像学检查带来的胎儿辐射暴露不是终止妊娠的医疗指征。胎儿辐射暴露剂量过高，尤其高于50mGy时，应结合孕周和暴露剂量综合分析其风险，在遵守相关法律法规和尊重孕妇及家属意愿的前提下决定是否继续妊娠。 </w:t>
            </w:r>
          </w:p>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（4）孕妇接受辐射性影像学检查时，应尽可能缩短暴露时间，并考虑加用合适的防护装备、调整设备参数等进一步降低胎儿接受的辐射暴露剂量。</w:t>
            </w:r>
          </w:p>
        </w:tc>
      </w:tr>
      <w:tr>
        <w:tblPrEx>
          <w:tblLayout w:type="fixed"/>
          <w:tblCellMar>
            <w:top w:w="0" w:type="dxa"/>
            <w:left w:w="108" w:type="dxa"/>
            <w:bottom w:w="0" w:type="dxa"/>
            <w:right w:w="108" w:type="dxa"/>
          </w:tblCellMar>
        </w:tblPrEx>
        <w:trPr>
          <w:trHeight w:val="630" w:hRule="atLeast"/>
          <w:jc w:val="center"/>
        </w:trPr>
        <w:tc>
          <w:tcPr>
            <w:tcW w:w="95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24（选做）</w:t>
            </w:r>
          </w:p>
        </w:tc>
        <w:tc>
          <w:tcPr>
            <w:tcW w:w="3118" w:type="dxa"/>
            <w:gridSpan w:val="3"/>
            <w:tcBorders>
              <w:top w:val="single" w:color="auto" w:sz="4" w:space="0"/>
              <w:left w:val="nil"/>
              <w:bottom w:val="single" w:color="auto" w:sz="4" w:space="0"/>
              <w:right w:val="single" w:color="000000" w:sz="4" w:space="0"/>
            </w:tcBorders>
            <w:noWrap w:val="0"/>
            <w:vAlign w:val="center"/>
          </w:tcPr>
          <w:p>
            <w:pPr>
              <w:pStyle w:val="7"/>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auto"/>
              <w:rPr>
                <w:rFonts w:hint="default" w:ascii="Times New Roman" w:hAnsi="Times New Roman" w:eastAsia="宋体" w:cs="Times New Roman"/>
                <w:b/>
                <w:bCs/>
                <w:kern w:val="0"/>
                <w:sz w:val="21"/>
                <w:szCs w:val="21"/>
                <w:highlight w:val="none"/>
              </w:rPr>
            </w:pPr>
            <w:r>
              <w:rPr>
                <w:rFonts w:hint="default" w:ascii="Times New Roman" w:hAnsi="Times New Roman" w:eastAsia="宋体" w:cs="Times New Roman"/>
                <w:b/>
                <w:bCs/>
                <w:kern w:val="0"/>
                <w:sz w:val="21"/>
                <w:szCs w:val="21"/>
                <w:highlight w:val="none"/>
              </w:rPr>
              <w:t>精液检查</w:t>
            </w:r>
          </w:p>
        </w:tc>
        <w:tc>
          <w:tcPr>
            <w:tcW w:w="9915" w:type="dxa"/>
            <w:tcBorders>
              <w:top w:val="nil"/>
              <w:left w:val="nil"/>
              <w:bottom w:val="single" w:color="auto" w:sz="4" w:space="0"/>
              <w:right w:val="single" w:color="auto" w:sz="4" w:space="0"/>
            </w:tcBorders>
            <w:noWrap w:val="0"/>
            <w:vAlign w:val="center"/>
          </w:tcPr>
          <w:p>
            <w:pPr>
              <w:keepNext w:val="0"/>
              <w:keepLines w:val="0"/>
              <w:pageBreakBefore w:val="0"/>
              <w:widowControl/>
              <w:numPr>
                <w:ilvl w:val="0"/>
                <w:numId w:val="9"/>
              </w:numPr>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精液常规提示异常，可以备孕或定期复查精液常规，必要时男性专科进一步检查；</w:t>
            </w:r>
          </w:p>
          <w:p>
            <w:pPr>
              <w:keepNext w:val="0"/>
              <w:keepLines w:val="0"/>
              <w:pageBreakBefore w:val="0"/>
              <w:widowControl/>
              <w:numPr>
                <w:ilvl w:val="0"/>
                <w:numId w:val="9"/>
              </w:numPr>
              <w:kinsoku/>
              <w:wordWrap/>
              <w:overflowPunct/>
              <w:topLinePunct w:val="0"/>
              <w:autoSpaceDE/>
              <w:autoSpaceDN/>
              <w:bidi w:val="0"/>
              <w:adjustRightInd/>
              <w:snapToGrid w:val="0"/>
              <w:spacing w:line="300" w:lineRule="exact"/>
              <w:jc w:val="left"/>
              <w:textAlignment w:val="auto"/>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男性生殖系统检查：男方生殖系统外观或触诊异常，可能会影响精子质量，建议到男性专科做进一步诊治。</w:t>
            </w:r>
          </w:p>
        </w:tc>
      </w:tr>
    </w:tbl>
    <w:p/>
    <w:sectPr>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6DE49C"/>
    <w:multiLevelType w:val="singleLevel"/>
    <w:tmpl w:val="806DE49C"/>
    <w:lvl w:ilvl="0" w:tentative="0">
      <w:start w:val="1"/>
      <w:numFmt w:val="decimal"/>
      <w:suff w:val="nothing"/>
      <w:lvlText w:val="（%1）"/>
      <w:lvlJc w:val="left"/>
    </w:lvl>
  </w:abstractNum>
  <w:abstractNum w:abstractNumId="1">
    <w:nsid w:val="A21FF399"/>
    <w:multiLevelType w:val="singleLevel"/>
    <w:tmpl w:val="A21FF399"/>
    <w:lvl w:ilvl="0" w:tentative="0">
      <w:start w:val="1"/>
      <w:numFmt w:val="decimal"/>
      <w:suff w:val="nothing"/>
      <w:lvlText w:val="（%1）"/>
      <w:lvlJc w:val="left"/>
    </w:lvl>
  </w:abstractNum>
  <w:abstractNum w:abstractNumId="2">
    <w:nsid w:val="ACDAD53B"/>
    <w:multiLevelType w:val="singleLevel"/>
    <w:tmpl w:val="ACDAD53B"/>
    <w:lvl w:ilvl="0" w:tentative="0">
      <w:start w:val="1"/>
      <w:numFmt w:val="decimal"/>
      <w:suff w:val="nothing"/>
      <w:lvlText w:val="（%1）"/>
      <w:lvlJc w:val="left"/>
    </w:lvl>
  </w:abstractNum>
  <w:abstractNum w:abstractNumId="3">
    <w:nsid w:val="E336BAF0"/>
    <w:multiLevelType w:val="singleLevel"/>
    <w:tmpl w:val="E336BAF0"/>
    <w:lvl w:ilvl="0" w:tentative="0">
      <w:start w:val="1"/>
      <w:numFmt w:val="decimal"/>
      <w:suff w:val="nothing"/>
      <w:lvlText w:val="（%1）"/>
      <w:lvlJc w:val="left"/>
    </w:lvl>
  </w:abstractNum>
  <w:abstractNum w:abstractNumId="4">
    <w:nsid w:val="FACDFDC3"/>
    <w:multiLevelType w:val="singleLevel"/>
    <w:tmpl w:val="FACDFDC3"/>
    <w:lvl w:ilvl="0" w:tentative="0">
      <w:start w:val="1"/>
      <w:numFmt w:val="decimal"/>
      <w:suff w:val="nothing"/>
      <w:lvlText w:val="（%1）"/>
      <w:lvlJc w:val="left"/>
    </w:lvl>
  </w:abstractNum>
  <w:abstractNum w:abstractNumId="5">
    <w:nsid w:val="FD9A1FF1"/>
    <w:multiLevelType w:val="singleLevel"/>
    <w:tmpl w:val="FD9A1FF1"/>
    <w:lvl w:ilvl="0" w:tentative="0">
      <w:start w:val="1"/>
      <w:numFmt w:val="decimal"/>
      <w:suff w:val="nothing"/>
      <w:lvlText w:val="（%1）"/>
      <w:lvlJc w:val="left"/>
    </w:lvl>
  </w:abstractNum>
  <w:abstractNum w:abstractNumId="6">
    <w:nsid w:val="0E2FC728"/>
    <w:multiLevelType w:val="singleLevel"/>
    <w:tmpl w:val="0E2FC728"/>
    <w:lvl w:ilvl="0" w:tentative="0">
      <w:start w:val="1"/>
      <w:numFmt w:val="decimal"/>
      <w:suff w:val="nothing"/>
      <w:lvlText w:val="（%1）"/>
      <w:lvlJc w:val="left"/>
    </w:lvl>
  </w:abstractNum>
  <w:abstractNum w:abstractNumId="7">
    <w:nsid w:val="56E53D22"/>
    <w:multiLevelType w:val="singleLevel"/>
    <w:tmpl w:val="56E53D22"/>
    <w:lvl w:ilvl="0" w:tentative="0">
      <w:start w:val="1"/>
      <w:numFmt w:val="decimal"/>
      <w:suff w:val="nothing"/>
      <w:lvlText w:val="（%1）"/>
      <w:lvlJc w:val="left"/>
    </w:lvl>
  </w:abstractNum>
  <w:abstractNum w:abstractNumId="8">
    <w:nsid w:val="61818065"/>
    <w:multiLevelType w:val="singleLevel"/>
    <w:tmpl w:val="61818065"/>
    <w:lvl w:ilvl="0" w:tentative="0">
      <w:start w:val="1"/>
      <w:numFmt w:val="decimal"/>
      <w:suff w:val="nothing"/>
      <w:lvlText w:val="（%1）"/>
      <w:lvlJc w:val="left"/>
    </w:lvl>
  </w:abstractNum>
  <w:num w:numId="1">
    <w:abstractNumId w:val="7"/>
  </w:num>
  <w:num w:numId="2">
    <w:abstractNumId w:val="4"/>
  </w:num>
  <w:num w:numId="3">
    <w:abstractNumId w:val="5"/>
  </w:num>
  <w:num w:numId="4">
    <w:abstractNumId w:val="6"/>
  </w:num>
  <w:num w:numId="5">
    <w:abstractNumId w:val="0"/>
  </w:num>
  <w:num w:numId="6">
    <w:abstractNumId w:val="1"/>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54847"/>
    <w:rsid w:val="44754847"/>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widowControl w:val="0"/>
      <w:spacing w:line="600" w:lineRule="exact"/>
      <w:jc w:val="both"/>
    </w:pPr>
    <w:rPr>
      <w:rFonts w:ascii="Times New Roman" w:hAnsi="Times New Roman" w:eastAsia="宋体" w:cs="Times New Roman"/>
      <w:kern w:val="2"/>
      <w:sz w:val="32"/>
      <w:szCs w:val="24"/>
      <w:lang w:val="en-US" w:eastAsia="zh-CN" w:bidi="ar-SA"/>
    </w:rPr>
  </w:style>
  <w:style w:type="paragraph" w:styleId="3">
    <w:name w:val="Title"/>
    <w:basedOn w:val="1"/>
    <w:next w:val="4"/>
    <w:qFormat/>
    <w:uiPriority w:val="0"/>
    <w:pPr>
      <w:widowControl w:val="0"/>
      <w:spacing w:before="240" w:after="60" w:line="240" w:lineRule="auto"/>
      <w:ind w:firstLineChars="0"/>
      <w:jc w:val="center"/>
      <w:textAlignment w:val="baseline"/>
    </w:pPr>
    <w:rPr>
      <w:rFonts w:ascii="Cambria" w:hAnsi="Cambria" w:eastAsia="宋体" w:cs="Times New Roman"/>
      <w:b/>
      <w:bCs/>
      <w:kern w:val="2"/>
      <w:sz w:val="32"/>
      <w:szCs w:val="32"/>
      <w:lang w:val="en-US" w:eastAsia="zh-CN" w:bidi="ar-SA"/>
    </w:rPr>
  </w:style>
  <w:style w:type="paragraph" w:styleId="4">
    <w:name w:val="Body Text Indent"/>
    <w:basedOn w:val="1"/>
    <w:next w:val="1"/>
    <w:qFormat/>
    <w:uiPriority w:val="0"/>
    <w:pPr>
      <w:widowControl w:val="0"/>
      <w:spacing w:line="150" w:lineRule="atLeast"/>
      <w:ind w:firstLine="420" w:firstLineChars="200"/>
      <w:jc w:val="both"/>
      <w:textAlignment w:val="baseline"/>
    </w:pPr>
    <w:rPr>
      <w:rFonts w:ascii="Times New Roman" w:hAnsi="Times New Roman" w:eastAsia="宋体" w:cs="Times New Roman"/>
      <w:kern w:val="2"/>
      <w:sz w:val="32"/>
      <w:szCs w:val="24"/>
      <w:lang w:val="en-US" w:eastAsia="zh-CN" w:bidi="ar-SA"/>
    </w:rPr>
  </w:style>
  <w:style w:type="paragraph" w:styleId="7">
    <w:name w:val="List Paragraph"/>
    <w:qFormat/>
    <w:uiPriority w:val="34"/>
    <w:pPr>
      <w:widowControl w:val="0"/>
      <w:ind w:firstLine="420" w:firstLineChars="200"/>
      <w:jc w:val="both"/>
    </w:pPr>
    <w:rPr>
      <w:rFonts w:ascii="Times New Roman" w:hAnsi="Times New Roman" w:eastAsia="仿宋_GB2312" w:cs="Times New Roman"/>
      <w:kern w:val="2"/>
      <w:sz w:val="32"/>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2021-10-19T08:47:00Z</dcterms:created>
  <dc:creator>eva</dc:creator>
  <cp:lastModifiedBy>eva</cp:lastModifiedBy>
  <dcterms:modified xsi:type="dcterms:W3CDTF">2021-10-19T08:47:52Z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