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附件：</w:t>
      </w:r>
    </w:p>
    <w:p>
      <w:pPr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清城区法律援助值班律师资源库入库申请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表</w:t>
      </w:r>
    </w:p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律师事务所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（盖章）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515"/>
        <w:gridCol w:w="1044"/>
        <w:gridCol w:w="3951"/>
        <w:gridCol w:w="1815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eastAsia="zh-CN"/>
              </w:rPr>
              <w:t>律师姓名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39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eastAsia="zh-CN"/>
              </w:rPr>
              <w:t>执业证号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eastAsia="zh-CN"/>
              </w:rPr>
              <w:t>执业年限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3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95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42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3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95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42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3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95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42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3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95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42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3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95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42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/>
          <w:sz w:val="32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备注：每间律所需要上报至少2名执业律师，值班期间律所原则上应当安排已报名的律师参与值班工作。</w:t>
      </w: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OWFkNGYzNTZkYzZlOTViOTU2ZDIyNWRlYmI0YzgifQ=="/>
  </w:docVars>
  <w:rsids>
    <w:rsidRoot w:val="78CF2CDF"/>
    <w:rsid w:val="78C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2023-10-25T01:59:00Z</dcterms:created>
  <dc:creator>ming</dc:creator>
  <cp:lastModifiedBy>ming</cp:lastModifiedBy>
  <dcterms:modified xsi:type="dcterms:W3CDTF">2023-10-25T02:00:22Z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8E591AB5154D49E98826045CE5F25155_11</vt:lpwstr>
  </property>
</Properties>
</file>