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val="0"/>
        <w:tabs>
          <w:tab w:val="left" w:pos="105"/>
          <w:tab w:val="left" w:pos="8820"/>
        </w:tabs>
        <w:kinsoku/>
        <w:wordWrap/>
        <w:overflowPunct/>
        <w:topLinePunct w:val="0"/>
        <w:autoSpaceDE/>
        <w:autoSpaceDN/>
        <w:bidi w:val="0"/>
        <w:adjustRightInd/>
        <w:snapToGrid w:val="0"/>
        <w:spacing w:line="560" w:lineRule="exact"/>
        <w:ind w:left="0" w:leftChars="0"/>
        <w:jc w:val="center"/>
        <w:textAlignment w:val="auto"/>
        <w:outlineLvl w:val="9"/>
        <w:rPr>
          <w:rFonts w:hint="eastAsia" w:ascii="黑体" w:hAnsi="黑体" w:eastAsia="黑体" w:cs="黑体"/>
          <w:color w:val="auto"/>
          <w:sz w:val="36"/>
          <w:szCs w:val="36"/>
        </w:rPr>
      </w:pPr>
      <w:r>
        <w:rPr>
          <w:rFonts w:hint="eastAsia" w:ascii="仿宋" w:hAnsi="仿宋" w:eastAsia="仿宋" w:cs="仿宋"/>
          <w:color w:val="auto"/>
          <w:spacing w:val="6"/>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jc w:val="center"/>
        <w:textAlignment w:val="auto"/>
        <w:outlineLvl w:val="9"/>
        <w:rPr>
          <w:rFonts w:ascii="仿宋_GB2312" w:hAnsi="宋体" w:eastAsia="仿宋_GB2312"/>
          <w:color w:val="auto"/>
          <w:sz w:val="30"/>
          <w:szCs w:val="30"/>
        </w:rPr>
      </w:pPr>
      <w:r>
        <w:rPr>
          <w:rFonts w:hint="eastAsia" w:ascii="仿宋_GB2312" w:hAnsi="宋体" w:eastAsia="仿宋_GB2312"/>
          <w:color w:val="auto"/>
          <w:sz w:val="30"/>
          <w:szCs w:val="30"/>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right"/>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6"/>
          <w:szCs w:val="36"/>
          <w:lang w:val="en-US" w:eastAsia="zh-CN"/>
        </w:rPr>
        <w:t>清城</w:t>
      </w:r>
      <w:r>
        <w:rPr>
          <w:rFonts w:hint="eastAsia" w:ascii="仿宋_GB2312" w:hAnsi="仿宋_GB2312" w:eastAsia="仿宋_GB2312" w:cs="仿宋_GB2312"/>
          <w:sz w:val="36"/>
          <w:szCs w:val="36"/>
        </w:rPr>
        <w:t>审批</w:t>
      </w:r>
      <w:r>
        <w:rPr>
          <w:rFonts w:hint="eastAsia" w:ascii="仿宋_GB2312" w:hAnsi="仿宋_GB2312" w:eastAsia="仿宋_GB2312" w:cs="仿宋_GB2312"/>
          <w:sz w:val="36"/>
          <w:szCs w:val="36"/>
          <w:lang w:val="en-US" w:eastAsia="zh-CN"/>
        </w:rPr>
        <w:t>环表</w:t>
      </w:r>
      <w:r>
        <w:rPr>
          <w:rFonts w:hint="eastAsia" w:ascii="仿宋_GB2312" w:hAnsi="仿宋_GB2312" w:eastAsia="仿宋_GB2312" w:cs="仿宋_GB2312"/>
          <w:sz w:val="36"/>
          <w:szCs w:val="36"/>
        </w:rPr>
        <w:t>〔20</w:t>
      </w:r>
      <w:r>
        <w:rPr>
          <w:rFonts w:hint="eastAsia" w:ascii="仿宋_GB2312" w:hAnsi="仿宋_GB2312" w:eastAsia="仿宋_GB2312" w:cs="仿宋_GB2312"/>
          <w:sz w:val="36"/>
          <w:szCs w:val="36"/>
          <w:lang w:val="en-US" w:eastAsia="zh-CN"/>
        </w:rPr>
        <w:t>26</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20</w:t>
      </w:r>
      <w:r>
        <w:rPr>
          <w:rFonts w:hint="eastAsia" w:ascii="仿宋_GB2312" w:hAnsi="仿宋_GB2312" w:eastAsia="仿宋_GB2312" w:cs="仿宋_GB2312"/>
          <w:sz w:val="36"/>
          <w:szCs w:val="36"/>
        </w:rPr>
        <w:t>号</w:t>
      </w:r>
    </w:p>
    <w:p>
      <w:pPr>
        <w:pStyle w:val="21"/>
        <w:keepNext w:val="0"/>
        <w:keepLines w:val="0"/>
        <w:pageBreakBefore w:val="0"/>
        <w:widowControl w:val="0"/>
        <w:tabs>
          <w:tab w:val="left" w:pos="105"/>
          <w:tab w:val="left" w:pos="8820"/>
        </w:tabs>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2"/>
          <w:sz w:val="44"/>
          <w:szCs w:val="44"/>
          <w:lang w:val="en-US" w:eastAsia="zh-CN" w:bidi="ar-SA"/>
        </w:rPr>
      </w:pP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baseline"/>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关于《清远市井坑塘路（旅游大道至职教</w:t>
      </w: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baseline"/>
        <w:rPr>
          <w:rFonts w:hint="default"/>
          <w:sz w:val="44"/>
          <w:szCs w:val="44"/>
          <w:lang w:val="en-US" w:eastAsia="zh-CN"/>
        </w:rPr>
      </w:pPr>
      <w:r>
        <w:rPr>
          <w:rFonts w:hint="eastAsia" w:ascii="方正小标宋_GBK" w:hAnsi="方正小标宋_GBK" w:eastAsia="方正小标宋_GBK" w:cs="方正小标宋_GBK"/>
          <w:kern w:val="2"/>
          <w:sz w:val="44"/>
          <w:szCs w:val="44"/>
          <w:lang w:val="en-US" w:eastAsia="zh-CN" w:bidi="ar-SA"/>
        </w:rPr>
        <w:t>二路）道路工程环境影响报告表》的批复</w:t>
      </w:r>
    </w:p>
    <w:p>
      <w:pPr>
        <w:keepNext w:val="0"/>
        <w:keepLines w:val="0"/>
        <w:pageBreakBefore w:val="0"/>
        <w:widowControl w:val="0"/>
        <w:kinsoku/>
        <w:wordWrap/>
        <w:overflowPunct/>
        <w:topLinePunct w:val="0"/>
        <w:autoSpaceDE/>
        <w:autoSpaceDN/>
        <w:bidi w:val="0"/>
        <w:adjustRightInd/>
        <w:spacing w:before="0" w:after="0" w:line="560" w:lineRule="exact"/>
        <w:ind w:left="0" w:leftChars="0" w:right="0" w:rightChars="0"/>
        <w:jc w:val="left"/>
        <w:textAlignment w:val="auto"/>
        <w:outlineLvl w:val="9"/>
        <w:rPr>
          <w:rFonts w:hint="eastAsia" w:ascii="黑体" w:hAnsi="黑体" w:eastAsia="黑体" w:cs="黑体"/>
          <w:color w:val="auto"/>
          <w:spacing w:val="6"/>
          <w:sz w:val="36"/>
          <w:szCs w:val="36"/>
        </w:rPr>
      </w:pPr>
    </w:p>
    <w:p>
      <w:pPr>
        <w:keepNext w:val="0"/>
        <w:keepLines w:val="0"/>
        <w:pageBreakBefore w:val="0"/>
        <w:widowControl w:val="0"/>
        <w:kinsoku/>
        <w:wordWrap/>
        <w:overflowPunct/>
        <w:topLinePunct w:val="0"/>
        <w:autoSpaceDE w:val="0"/>
        <w:autoSpaceDN w:val="0"/>
        <w:bidi w:val="0"/>
        <w:adjustRightInd w:val="0"/>
        <w:snapToGrid w:val="0"/>
        <w:spacing w:line="620" w:lineRule="exact"/>
        <w:ind w:right="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清远市代建项目管理局：</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color w:val="auto"/>
          <w:sz w:val="32"/>
          <w:szCs w:val="32"/>
          <w:lang w:val="en-US" w:eastAsia="zh-CN"/>
        </w:rPr>
        <w:t>你单位报批的</w:t>
      </w:r>
      <w:r>
        <w:rPr>
          <w:rFonts w:hint="eastAsia" w:ascii="仿宋_GB2312" w:hAnsi="仿宋_GB2312" w:eastAsia="仿宋_GB2312" w:cs="仿宋_GB2312"/>
          <w:snapToGrid w:val="0"/>
          <w:color w:val="auto"/>
          <w:kern w:val="0"/>
          <w:sz w:val="32"/>
          <w:szCs w:val="32"/>
        </w:rPr>
        <w:t>《清远市井坑塘路（旅游大道至职教二路）道路工程</w:t>
      </w:r>
      <w:r>
        <w:rPr>
          <w:rFonts w:hint="eastAsia" w:ascii="仿宋_GB2312" w:hAnsi="仿宋_GB2312" w:eastAsia="仿宋_GB2312" w:cs="仿宋_GB2312"/>
          <w:color w:val="auto"/>
          <w:sz w:val="32"/>
          <w:szCs w:val="32"/>
          <w:lang w:eastAsia="zh-CN"/>
        </w:rPr>
        <w:t>环境影响报告表</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color w:val="auto"/>
          <w:sz w:val="32"/>
          <w:szCs w:val="32"/>
          <w:lang w:eastAsia="zh-CN"/>
        </w:rPr>
        <w:t>（以下简称“报告表”）等相关材料收悉。经研究，批复如下：</w:t>
      </w:r>
    </w:p>
    <w:p>
      <w:pPr>
        <w:keepNext w:val="0"/>
        <w:keepLines w:val="0"/>
        <w:pageBreakBefore w:val="0"/>
        <w:widowControl w:val="0"/>
        <w:numPr>
          <w:ilvl w:val="0"/>
          <w:numId w:val="2"/>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auto"/>
          <w:kern w:val="2"/>
          <w:sz w:val="32"/>
          <w:szCs w:val="32"/>
          <w:highlight w:val="none"/>
          <w:lang w:val="en-US" w:eastAsia="zh-CN" w:bidi="zh-TW"/>
        </w:rPr>
        <w:t>项目位于广东省清远市清城区东城街道</w:t>
      </w:r>
      <w:r>
        <w:rPr>
          <w:rFonts w:hint="eastAsia" w:ascii="仿宋_GB2312" w:hAnsi="仿宋_GB2312" w:eastAsia="仿宋_GB2312" w:cs="仿宋_GB2312"/>
          <w:sz w:val="32"/>
          <w:szCs w:val="32"/>
          <w:lang w:eastAsia="zh-CN"/>
        </w:rPr>
        <w:t>，新建</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条城市道路，</w:t>
      </w:r>
      <w:r>
        <w:rPr>
          <w:rFonts w:hint="eastAsia" w:ascii="仿宋_GB2312" w:hAnsi="仿宋_GB2312" w:eastAsia="仿宋_GB2312" w:cs="仿宋_GB2312"/>
          <w:b w:val="0"/>
          <w:bCs w:val="0"/>
          <w:color w:val="auto"/>
          <w:kern w:val="2"/>
          <w:sz w:val="32"/>
          <w:szCs w:val="32"/>
          <w:highlight w:val="none"/>
          <w:lang w:val="en-US" w:eastAsia="zh-CN" w:bidi="zh-TW"/>
        </w:rPr>
        <w:t>道路总长4651.28m，</w:t>
      </w:r>
      <w:r>
        <w:rPr>
          <w:rFonts w:hint="eastAsia" w:ascii="仿宋_GB2312" w:hAnsi="仿宋_GB2312" w:eastAsia="仿宋_GB2312" w:cs="仿宋_GB2312"/>
          <w:sz w:val="32"/>
          <w:szCs w:val="32"/>
          <w:lang w:val="en-US" w:eastAsia="zh-CN"/>
        </w:rPr>
        <w:t>占地面积为171800.343㎡。主要建设内容为：（1）职教一路延伸路段（起点：E113°6′18.514″，N23°44′40.079″，终点：E113°6′32.716″，N23°44′40.773″，全长483.807m），道路等级为城市主干道，呈东西走向，标准断面宽度45m，设计时速60km/h，规划双向六车道；（2）井坑塘路（A线起点：E113°6′15.944″，N23°45′17.070″，终点：</w:t>
      </w:r>
      <w:r>
        <w:rPr>
          <w:rFonts w:hint="eastAsia" w:ascii="仿宋_GB2312" w:hAnsi="仿宋_GB2312" w:eastAsia="仿宋_GB2312" w:cs="仿宋_GB2312"/>
          <w:sz w:val="32"/>
          <w:szCs w:val="32"/>
          <w:lang w:eastAsia="zh-CN"/>
        </w:rPr>
        <w:t>E113°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val="en-US" w:eastAsia="zh-CN"/>
        </w:rPr>
        <w:t>867</w:t>
      </w:r>
      <w:r>
        <w:rPr>
          <w:rFonts w:hint="eastAsia" w:ascii="仿宋_GB2312" w:hAnsi="仿宋_GB2312" w:eastAsia="仿宋_GB2312" w:cs="仿宋_GB2312"/>
          <w:sz w:val="32"/>
          <w:szCs w:val="32"/>
          <w:lang w:eastAsia="zh-CN"/>
        </w:rPr>
        <w:t>″，N23°4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19.089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,全长2294.943m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B</w:t>
      </w:r>
      <w:r>
        <w:rPr>
          <w:rFonts w:hint="eastAsia" w:ascii="仿宋_GB2312" w:hAnsi="仿宋_GB2312" w:eastAsia="仿宋_GB2312" w:cs="仿宋_GB2312"/>
          <w:sz w:val="32"/>
          <w:szCs w:val="32"/>
          <w:lang w:eastAsia="zh-CN"/>
        </w:rPr>
        <w:t>线</w:t>
      </w:r>
      <w:r>
        <w:rPr>
          <w:rFonts w:hint="eastAsia" w:ascii="仿宋_GB2312" w:hAnsi="仿宋_GB2312" w:eastAsia="仿宋_GB2312" w:cs="仿宋_GB2312"/>
          <w:sz w:val="32"/>
          <w:szCs w:val="32"/>
          <w:lang w:val="en-US" w:eastAsia="zh-CN"/>
        </w:rPr>
        <w:t>起点：E113°6′58.012″，N23°44′19.707″，终点：</w:t>
      </w:r>
      <w:r>
        <w:rPr>
          <w:rFonts w:hint="eastAsia" w:ascii="仿宋_GB2312" w:hAnsi="仿宋_GB2312" w:eastAsia="仿宋_GB2312" w:cs="仿宋_GB2312"/>
          <w:sz w:val="32"/>
          <w:szCs w:val="32"/>
          <w:lang w:eastAsia="zh-CN"/>
        </w:rPr>
        <w:t>E113°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27.554</w:t>
      </w:r>
      <w:r>
        <w:rPr>
          <w:rFonts w:hint="eastAsia" w:ascii="仿宋_GB2312" w:hAnsi="仿宋_GB2312" w:eastAsia="仿宋_GB2312" w:cs="仿宋_GB2312"/>
          <w:sz w:val="32"/>
          <w:szCs w:val="32"/>
          <w:lang w:eastAsia="zh-CN"/>
        </w:rPr>
        <w:t>″，N23°4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35.077</w:t>
      </w:r>
      <w:r>
        <w:rPr>
          <w:rFonts w:hint="eastAsia" w:ascii="仿宋_GB2312" w:hAnsi="仿宋_GB2312" w:eastAsia="仿宋_GB2312" w:cs="仿宋_GB2312"/>
          <w:sz w:val="32"/>
          <w:szCs w:val="32"/>
          <w:lang w:eastAsia="zh-CN"/>
        </w:rPr>
        <w:t>″，全长</w:t>
      </w:r>
      <w:r>
        <w:rPr>
          <w:rFonts w:hint="eastAsia" w:ascii="仿宋_GB2312" w:hAnsi="仿宋_GB2312" w:eastAsia="仿宋_GB2312" w:cs="仿宋_GB2312"/>
          <w:sz w:val="32"/>
          <w:szCs w:val="32"/>
          <w:lang w:val="en-US" w:eastAsia="zh-CN"/>
        </w:rPr>
        <w:t>1872.53</w:t>
      </w:r>
      <w:r>
        <w:rPr>
          <w:rFonts w:hint="eastAsia" w:ascii="仿宋_GB2312" w:hAnsi="仿宋_GB2312" w:eastAsia="仿宋_GB2312" w:cs="仿宋_GB2312"/>
          <w:sz w:val="32"/>
          <w:szCs w:val="32"/>
          <w:lang w:eastAsia="zh-CN"/>
        </w:rPr>
        <w:t>m</w:t>
      </w:r>
      <w:r>
        <w:rPr>
          <w:rFonts w:hint="eastAsia" w:ascii="仿宋_GB2312" w:hAnsi="仿宋_GB2312" w:eastAsia="仿宋_GB2312" w:cs="仿宋_GB2312"/>
          <w:sz w:val="32"/>
          <w:szCs w:val="32"/>
          <w:lang w:val="en-US" w:eastAsia="zh-CN"/>
        </w:rPr>
        <w:t>），道路等级为城市次干路，呈南北走向，标准断面宽度36m，设计时速40km/h，规划双向六车道；（3）新建4座桥梁（文洞河1号桥、文洞河2号桥，跨越文洞河；BK0+925桥，跨越旧村山谷；井坑塘水库桥，跨越井坑塘水库）。以上城市道路建设内容均包括道路工程、交通工程、桥涵工程</w:t>
      </w:r>
      <w:r>
        <w:rPr>
          <w:rFonts w:hint="eastAsia" w:ascii="仿宋_GB2312" w:hAnsi="仿宋_GB2312" w:eastAsia="仿宋_GB2312" w:cs="仿宋_GB2312"/>
          <w:b w:val="0"/>
          <w:bCs w:val="0"/>
          <w:color w:val="auto"/>
          <w:kern w:val="2"/>
          <w:sz w:val="32"/>
          <w:szCs w:val="32"/>
          <w:highlight w:val="none"/>
          <w:lang w:val="en-US" w:eastAsia="zh-CN" w:bidi="zh-TW"/>
        </w:rPr>
        <w:t>、排水工程、照明工程、绿化工程等主体工程</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b w:val="0"/>
          <w:bCs w:val="0"/>
          <w:color w:val="0000FF"/>
          <w:kern w:val="2"/>
          <w:sz w:val="32"/>
          <w:szCs w:val="32"/>
          <w:lang w:val="en-US" w:eastAsia="zh-CN" w:bidi="zh-TW"/>
        </w:rPr>
      </w:pPr>
      <w:r>
        <w:rPr>
          <w:rFonts w:hint="eastAsia" w:ascii="仿宋_GB2312" w:hAnsi="仿宋_GB2312" w:eastAsia="仿宋_GB2312" w:cs="仿宋_GB2312"/>
          <w:b w:val="0"/>
          <w:bCs w:val="0"/>
          <w:color w:val="auto"/>
          <w:kern w:val="2"/>
          <w:sz w:val="32"/>
          <w:szCs w:val="32"/>
          <w:highlight w:val="none"/>
          <w:lang w:val="en-US" w:eastAsia="zh-CN" w:bidi="zh-TW"/>
        </w:rPr>
        <w:t>二、</w:t>
      </w:r>
      <w:r>
        <w:rPr>
          <w:rFonts w:hint="eastAsia" w:ascii="仿宋_GB2312" w:hAnsi="仿宋_GB2312" w:eastAsia="仿宋_GB2312" w:cs="仿宋_GB2312"/>
          <w:color w:val="auto"/>
          <w:kern w:val="2"/>
          <w:sz w:val="32"/>
          <w:szCs w:val="32"/>
          <w:highlight w:val="none"/>
          <w:lang w:val="en-US" w:eastAsia="zh-CN" w:bidi="zh-TW"/>
        </w:rPr>
        <w:t>生态环境部华南环境科学研究所</w:t>
      </w:r>
      <w:r>
        <w:rPr>
          <w:rFonts w:hint="eastAsia" w:ascii="仿宋_GB2312" w:hAnsi="仿宋_GB2312" w:eastAsia="仿宋_GB2312" w:cs="仿宋_GB2312"/>
          <w:b w:val="0"/>
          <w:bCs w:val="0"/>
          <w:color w:val="auto"/>
          <w:kern w:val="2"/>
          <w:sz w:val="32"/>
          <w:szCs w:val="32"/>
          <w:highlight w:val="none"/>
          <w:lang w:val="en-US" w:eastAsia="zh-CN" w:bidi="zh-TW"/>
        </w:rPr>
        <w:t>对报告表的技术评</w:t>
      </w:r>
      <w:r>
        <w:rPr>
          <w:rFonts w:hint="eastAsia" w:ascii="仿宋_GB2312" w:hAnsi="仿宋_GB2312" w:eastAsia="仿宋_GB2312" w:cs="仿宋_GB2312"/>
          <w:b w:val="0"/>
          <w:bCs w:val="0"/>
          <w:color w:val="auto"/>
          <w:kern w:val="2"/>
          <w:sz w:val="32"/>
          <w:szCs w:val="32"/>
          <w:lang w:val="en-US" w:eastAsia="zh-CN" w:bidi="zh-TW"/>
        </w:rPr>
        <w:t>估意见认为，报告表编制较规范，内容较全面，环境概况、项目建设内容介绍较清楚，采用的评价技术方法基本符合《建设项目环境影响报告表编制技术指南（生态影响类）（试行）》等有关规范的要求，污染防治及环境风险防范措施基本可行，评价结论总体可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firstLine="640" w:firstLineChars="200"/>
        <w:jc w:val="both"/>
        <w:textAlignment w:val="auto"/>
        <w:rPr>
          <w:rFonts w:hint="eastAsia" w:ascii="仿宋_GB2312" w:hAnsi="仿宋_GB2312" w:eastAsia="仿宋_GB2312" w:cs="仿宋_GB2312"/>
          <w:color w:val="auto"/>
          <w:sz w:val="32"/>
          <w:szCs w:val="32"/>
          <w:lang w:val="zh-TW" w:eastAsia="zh-CN"/>
        </w:rPr>
      </w:pPr>
      <w:r>
        <w:rPr>
          <w:rFonts w:hint="eastAsia" w:ascii="仿宋_GB2312" w:hAnsi="仿宋_GB2312" w:eastAsia="仿宋_GB2312" w:cs="仿宋_GB2312"/>
          <w:color w:val="auto"/>
          <w:sz w:val="32"/>
          <w:szCs w:val="32"/>
          <w:lang w:eastAsia="zh-CN"/>
        </w:rPr>
        <w:t>三、我局原则同意评估单位对报告表的技术评估意见，在你单位全面落实报告表提出的各项污染防治措施，确保各项</w:t>
      </w:r>
      <w:r>
        <w:rPr>
          <w:rFonts w:hint="eastAsia" w:ascii="仿宋_GB2312" w:hAnsi="仿宋_GB2312" w:eastAsia="仿宋_GB2312" w:cs="仿宋_GB2312"/>
          <w:color w:val="auto"/>
          <w:sz w:val="32"/>
          <w:szCs w:val="32"/>
          <w:lang w:val="en-US" w:eastAsia="zh-CN"/>
        </w:rPr>
        <w:t>污染物稳定达标排放的前提下，</w:t>
      </w:r>
      <w:r>
        <w:rPr>
          <w:rFonts w:hint="eastAsia" w:ascii="仿宋_GB2312" w:hAnsi="仿宋_GB2312" w:eastAsia="仿宋_GB2312" w:cs="仿宋_GB2312"/>
          <w:color w:val="auto"/>
          <w:sz w:val="32"/>
          <w:szCs w:val="32"/>
          <w:lang w:eastAsia="zh-CN"/>
        </w:rPr>
        <w:t>项目按照报告表中所列性质、规模、地点、拟采用的环境保护措施进行建设，从生态环境保护角度可行。</w:t>
      </w:r>
      <w:r>
        <w:rPr>
          <w:rFonts w:hint="eastAsia" w:ascii="仿宋_GB2312" w:hAnsi="仿宋_GB2312" w:eastAsia="仿宋_GB2312" w:cs="仿宋_GB2312"/>
          <w:color w:val="auto"/>
          <w:sz w:val="32"/>
          <w:szCs w:val="32"/>
          <w:lang w:val="zh-TW" w:eastAsia="zh-CN"/>
        </w:rPr>
        <w:t>项目建设和运营期还应重点做好以下工作：</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做好项目施工期的水污染防治工作。项目不设施工营地，施工人员的生活设施依托周边村镇的服务设施；施工机械及运输车辆的冲洗水经处理后，回用于施工场地洒水等，不外排；雨期地表径流经排水沟引至沉砂池沉淀后回用于施工场地洒水等，不外排。运营期废水主要是路面径流水，排入路面雨水收集管网。</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color w:val="auto"/>
          <w:kern w:val="2"/>
          <w:sz w:val="32"/>
          <w:szCs w:val="32"/>
          <w:lang w:val="en-US" w:eastAsia="zh-CN" w:bidi="ar-SA"/>
        </w:rPr>
        <w:t>做好项目施工期的大气污染防治工作。通过洒水、设置围挡、覆盖等措施抑尘，合理规范沥青铺设工作，降低沥青烟气的污染影响，施工期废气执行广东省《大气污染物排放限值》（DB44/27-2001）第二时段无组织排放监控浓度限值。</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color w:val="auto"/>
          <w:kern w:val="2"/>
          <w:sz w:val="32"/>
          <w:szCs w:val="32"/>
          <w:lang w:val="en-US" w:eastAsia="zh-CN" w:bidi="ar-SA"/>
        </w:rPr>
        <w:t>施工期通过选用低噪设备、合理安排施工时间、围蔽施工、设置移动声屏障等降噪措施，确保施工期场界噪声满足《建筑施工噪声排放标准》（GB12523-2025</w:t>
      </w:r>
      <w:bookmarkStart w:id="0" w:name="_GoBack"/>
      <w:bookmarkEnd w:id="0"/>
      <w:r>
        <w:rPr>
          <w:rFonts w:hint="eastAsia" w:ascii="仿宋_GB2312" w:hAnsi="仿宋_GB2312" w:eastAsia="仿宋_GB2312" w:cs="仿宋_GB2312"/>
          <w:color w:val="auto"/>
          <w:kern w:val="2"/>
          <w:sz w:val="32"/>
          <w:szCs w:val="32"/>
          <w:lang w:val="en-US" w:eastAsia="zh-CN" w:bidi="ar-SA"/>
        </w:rPr>
        <w:t>）排放限值要求。运营期落实绿化带等噪声污染防治措施。</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eastAsia="zh-CN"/>
        </w:rPr>
        <w:t>（四）严格落实固体废物分类处置和综合利用措施。施工期产生的建筑垃圾应集中堆放并定期清运至建设规划部门指定地点处理，施工人员生活垃圾经收集后交由环卫部门定期清运处理</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465"/>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lang w:val="en-US" w:eastAsia="zh-CN"/>
        </w:rPr>
        <w:t>）严格落实生态保护措施和水土保持方案，按设计要求做好植被恢复、道路绿化、雨污分流、配套管网建设、接驳等工作。</w:t>
      </w:r>
    </w:p>
    <w:p>
      <w:pPr>
        <w:pStyle w:val="21"/>
        <w:keepNext w:val="0"/>
        <w:keepLines w:val="0"/>
        <w:pageBreakBefore w:val="0"/>
        <w:widowControl w:val="0"/>
        <w:numPr>
          <w:ilvl w:val="0"/>
          <w:numId w:val="0"/>
        </w:numPr>
        <w:kinsoku/>
        <w:wordWrap/>
        <w:overflowPunct/>
        <w:topLinePunct w:val="0"/>
        <w:autoSpaceDE/>
        <w:autoSpaceDN/>
        <w:bidi w:val="0"/>
        <w:adjustRightInd w:val="0"/>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四、项目环保投资应纳入工程投资概算并予以落实。</w:t>
      </w:r>
    </w:p>
    <w:p>
      <w:pPr>
        <w:pStyle w:val="21"/>
        <w:keepNext w:val="0"/>
        <w:keepLines w:val="0"/>
        <w:pageBreakBefore w:val="0"/>
        <w:widowControl w:val="0"/>
        <w:kinsoku/>
        <w:wordWrap/>
        <w:overflowPunct/>
        <w:topLinePunct w:val="0"/>
        <w:autoSpaceDE/>
        <w:autoSpaceDN/>
        <w:bidi w:val="0"/>
        <w:adjustRightInd w:val="0"/>
        <w:spacing w:line="62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五、若项目环境影响评价文件经批准后，项目的性质、规模、地点、采用的防范污染措施发生重大变动的，建设单位应当重新报批环境影响评价文件。</w:t>
      </w:r>
    </w:p>
    <w:p>
      <w:pPr>
        <w:pStyle w:val="21"/>
        <w:keepNext w:val="0"/>
        <w:keepLines w:val="0"/>
        <w:pageBreakBefore w:val="0"/>
        <w:widowControl w:val="0"/>
        <w:kinsoku/>
        <w:wordWrap/>
        <w:overflowPunct/>
        <w:topLinePunct w:val="0"/>
        <w:autoSpaceDE/>
        <w:autoSpaceDN/>
        <w:bidi w:val="0"/>
        <w:adjustRightInd w:val="0"/>
        <w:spacing w:line="6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六、项目建设应严格执行配套建设的环境保护设施与主体工程同时设计、同时施工、同时投入使用的环境保护“三同时”制度</w:t>
      </w:r>
      <w:r>
        <w:rPr>
          <w:rFonts w:hint="eastAsia" w:ascii="仿宋_GB2312" w:hAnsi="仿宋_GB2312" w:eastAsia="仿宋_GB2312" w:cs="仿宋_GB2312"/>
          <w:color w:val="auto"/>
          <w:sz w:val="32"/>
          <w:szCs w:val="32"/>
        </w:rPr>
        <w:t>，按规定接受生态环境部门日常监督检查。</w:t>
      </w:r>
    </w:p>
    <w:p>
      <w:pPr>
        <w:keepNext w:val="0"/>
        <w:keepLines w:val="0"/>
        <w:pageBreakBefore w:val="0"/>
        <w:widowControl w:val="0"/>
        <w:kinsoku/>
        <w:wordWrap/>
        <w:overflowPunct/>
        <w:topLinePunct w:val="0"/>
        <w:bidi w:val="0"/>
        <w:spacing w:line="560" w:lineRule="exact"/>
        <w:jc w:val="left"/>
        <w:rPr>
          <w:rFonts w:hint="eastAsia"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bidi w:val="0"/>
        <w:spacing w:line="560" w:lineRule="exact"/>
        <w:jc w:val="left"/>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bidi w:val="0"/>
        <w:spacing w:line="560" w:lineRule="exact"/>
        <w:jc w:val="left"/>
        <w:rPr>
          <w:rFonts w:hint="eastAsia"/>
          <w:lang w:val="en-US" w:eastAsia="zh-CN"/>
        </w:rPr>
      </w:pPr>
    </w:p>
    <w:p>
      <w:pPr>
        <w:pStyle w:val="33"/>
        <w:keepNext w:val="0"/>
        <w:keepLines w:val="0"/>
        <w:pageBreakBefore w:val="0"/>
        <w:widowControl w:val="0"/>
        <w:kinsoku/>
        <w:wordWrap/>
        <w:overflowPunct/>
        <w:topLinePunct w:val="0"/>
        <w:autoSpaceDE/>
        <w:autoSpaceDN/>
        <w:bidi w:val="0"/>
        <w:adjustRightInd/>
        <w:snapToGrid/>
        <w:spacing w:line="62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清远市清城区行政审批局</w:t>
      </w:r>
    </w:p>
    <w:p>
      <w:pPr>
        <w:pStyle w:val="33"/>
        <w:keepNext w:val="0"/>
        <w:keepLines w:val="0"/>
        <w:pageBreakBefore w:val="0"/>
        <w:widowControl w:val="0"/>
        <w:kinsoku/>
        <w:wordWrap/>
        <w:overflowPunct/>
        <w:topLinePunct w:val="0"/>
        <w:autoSpaceDE/>
        <w:autoSpaceDN/>
        <w:bidi w:val="0"/>
        <w:adjustRightInd/>
        <w:snapToGrid/>
        <w:spacing w:line="62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w:t>
      </w:r>
      <w:r>
        <w:rPr>
          <w:rFonts w:hint="default"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年</w:t>
      </w:r>
      <w:r>
        <w:rPr>
          <w:rFonts w:hint="default"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t>月11日</w:t>
      </w: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leftChars="2200" w:right="0"/>
        <w:jc w:val="center"/>
        <w:textAlignment w:val="auto"/>
        <w:rPr>
          <w:rFonts w:hint="eastAsia" w:ascii="仿宋_GB2312" w:hAnsi="仿宋_GB2312" w:eastAsia="仿宋_GB2312" w:cs="仿宋_GB2312"/>
          <w:color w:val="auto"/>
          <w:kern w:val="2"/>
          <w:sz w:val="32"/>
          <w:szCs w:val="32"/>
          <w:lang w:val="en-US" w:eastAsia="zh-CN" w:bidi="ar-SA"/>
        </w:rPr>
      </w:pPr>
    </w:p>
    <w:tbl>
      <w:tblPr>
        <w:tblStyle w:val="25"/>
        <w:tblpPr w:leftFromText="180" w:rightFromText="180" w:vertAnchor="text" w:horzAnchor="page" w:tblpXSpec="center" w:tblpY="1658"/>
        <w:tblOverlap w:val="never"/>
        <w:tblW w:w="10040" w:type="dxa"/>
        <w:jc w:val="center"/>
        <w:tblBorders>
          <w:top w:val="none" w:color="auto" w:sz="0"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10040"/>
      </w:tblGrid>
      <w:tr>
        <w:tblPrEx>
          <w:tblBorders>
            <w:top w:val="none" w:color="auto" w:sz="0"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603" w:hRule="atLeast"/>
          <w:jc w:val="center"/>
        </w:trPr>
        <w:tc>
          <w:tcPr>
            <w:tcW w:w="10040" w:type="dxa"/>
            <w:noWrap w:val="0"/>
            <w:vAlign w:val="top"/>
          </w:tcPr>
          <w:p>
            <w:pPr>
              <w:pStyle w:val="33"/>
              <w:keepNext w:val="0"/>
              <w:keepLines w:val="0"/>
              <w:pageBreakBefore w:val="0"/>
              <w:widowControl w:val="0"/>
              <w:kinsoku/>
              <w:wordWrap/>
              <w:overflowPunct/>
              <w:topLinePunct w:val="0"/>
              <w:autoSpaceDE/>
              <w:autoSpaceDN/>
              <w:bidi w:val="0"/>
              <w:adjustRightInd/>
              <w:snapToGrid/>
              <w:spacing w:line="560" w:lineRule="exact"/>
              <w:ind w:left="960" w:right="0" w:firstLine="640" w:firstLineChars="200"/>
              <w:jc w:val="center"/>
              <w:textAlignment w:val="auto"/>
              <w:rPr>
                <w:rFonts w:hint="eastAsia" w:ascii="仿宋_GB2312" w:hAnsi="仿宋_GB2312" w:eastAsia="仿宋_GB2312" w:cs="仿宋_GB2312"/>
                <w:color w:val="auto"/>
                <w:kern w:val="2"/>
                <w:sz w:val="32"/>
                <w:szCs w:val="32"/>
                <w:lang w:val="en-US" w:eastAsia="zh-CN" w:bidi="ar-SA"/>
              </w:rPr>
            </w:pPr>
          </w:p>
        </w:tc>
      </w:tr>
      <w:tr>
        <w:tblPrEx>
          <w:tblBorders>
            <w:top w:val="none" w:color="auto" w:sz="0"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625" w:hRule="atLeast"/>
          <w:jc w:val="center"/>
        </w:trPr>
        <w:tc>
          <w:tcPr>
            <w:tcW w:w="10040" w:type="dxa"/>
            <w:noWrap w:val="0"/>
            <w:vAlign w:val="top"/>
          </w:tcPr>
          <w:p>
            <w:pPr>
              <w:pStyle w:val="3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抄送：清远市生态环境局清城分局、清远市中懿环保技术服务有限公司</w:t>
            </w:r>
          </w:p>
        </w:tc>
      </w:tr>
      <w:tr>
        <w:tblPrEx>
          <w:tblBorders>
            <w:top w:val="none" w:color="auto" w:sz="0"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625" w:hRule="atLeast"/>
          <w:jc w:val="center"/>
        </w:trPr>
        <w:tc>
          <w:tcPr>
            <w:tcW w:w="10040" w:type="dxa"/>
            <w:noWrap w:val="0"/>
            <w:vAlign w:val="top"/>
          </w:tcPr>
          <w:p>
            <w:pPr>
              <w:pStyle w:val="33"/>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pacing w:val="-11"/>
                <w:kern w:val="2"/>
                <w:sz w:val="32"/>
                <w:szCs w:val="32"/>
                <w:lang w:val="en-US" w:eastAsia="zh-CN" w:bidi="ar-SA"/>
              </w:rPr>
            </w:pPr>
            <w:r>
              <w:rPr>
                <w:rFonts w:hint="eastAsia" w:ascii="仿宋_GB2312" w:hAnsi="仿宋_GB2312" w:eastAsia="仿宋_GB2312" w:cs="仿宋_GB2312"/>
                <w:color w:val="auto"/>
                <w:spacing w:val="-11"/>
                <w:kern w:val="2"/>
                <w:sz w:val="32"/>
                <w:szCs w:val="32"/>
                <w:lang w:val="en-US" w:eastAsia="zh-CN" w:bidi="ar-SA"/>
              </w:rPr>
              <w:t>清远市清城区行政审批局                         2026年</w:t>
            </w:r>
            <w:r>
              <w:rPr>
                <w:rFonts w:hint="default" w:ascii="仿宋_GB2312" w:hAnsi="仿宋_GB2312" w:eastAsia="仿宋_GB2312" w:cs="仿宋_GB2312"/>
                <w:color w:val="auto"/>
                <w:spacing w:val="-11"/>
                <w:kern w:val="2"/>
                <w:sz w:val="32"/>
                <w:szCs w:val="32"/>
                <w:lang w:val="en-US" w:eastAsia="zh-CN" w:bidi="ar-SA"/>
              </w:rPr>
              <w:t>5</w:t>
            </w:r>
            <w:r>
              <w:rPr>
                <w:rFonts w:hint="eastAsia" w:ascii="仿宋_GB2312" w:hAnsi="仿宋_GB2312" w:eastAsia="仿宋_GB2312" w:cs="仿宋_GB2312"/>
                <w:color w:val="auto"/>
                <w:spacing w:val="-11"/>
                <w:kern w:val="2"/>
                <w:sz w:val="32"/>
                <w:szCs w:val="32"/>
                <w:lang w:val="en-US" w:eastAsia="zh-CN" w:bidi="ar-SA"/>
              </w:rPr>
              <w:t>月11日印发</w:t>
            </w:r>
          </w:p>
        </w:tc>
      </w:tr>
    </w:tbl>
    <w:p>
      <w:pPr>
        <w:pStyle w:val="3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kern w:val="2"/>
          <w:sz w:val="32"/>
          <w:szCs w:val="32"/>
          <w:lang w:val="en-US" w:eastAsia="zh-CN" w:bidi="ar-SA"/>
        </w:rPr>
      </w:pPr>
    </w:p>
    <w:p>
      <w:pPr>
        <w:pStyle w:val="33"/>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auto"/>
          <w:kern w:val="2"/>
          <w:sz w:val="32"/>
          <w:szCs w:val="32"/>
          <w:lang w:val="en-US" w:eastAsia="zh-CN" w:bidi="ar-SA"/>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500030101010101"/>
    <w:charset w:val="88"/>
    <w:family w:val="roman"/>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803050406030204"/>
    <w:charset w:val="00"/>
    <w:family w:val="auto"/>
    <w:pitch w:val="default"/>
    <w:sig w:usb0="E00006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hpgkvTAAAABQEA&#10;AA8AAAAAAAAAAQAgAAAAOAAAAGRycy9kb3ducmV2LnhtbFBLAQIUABQAAAAIAIdO4kBgcnE80AEA&#10;AKMDAAAOAAAAAAAAAAEAIAAAADgBAABkcnMvZTJvRG9jLnhtbFBLBQYAAAAABgAGAFkBAAB6BQAA&#10;AAA=&#10;">
              <v:fill on="f" focussize="0,0"/>
              <v:stroke on="f" weight="1.25pt"/>
              <v:imagedata o:title=""/>
              <o:lock v:ext="edit" aspectratio="f"/>
              <v:textbox inset="0mm,0mm,0mm,0mm" style="mso-fit-shape-to-text:t;">
                <w:txbxContent>
                  <w:p>
                    <w:pPr>
                      <w:pStyle w:val="2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BA2D1"/>
    <w:multiLevelType w:val="singleLevel"/>
    <w:tmpl w:val="D0CBA2D1"/>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1">
    <w:nsid w:val="3FFF3E90"/>
    <w:multiLevelType w:val="singleLevel"/>
    <w:tmpl w:val="3FFF3E9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C245E"/>
    <w:rsid w:val="00C97CCC"/>
    <w:rsid w:val="01FD1152"/>
    <w:rsid w:val="023470AD"/>
    <w:rsid w:val="023F1B74"/>
    <w:rsid w:val="02C60B37"/>
    <w:rsid w:val="03724537"/>
    <w:rsid w:val="03847CD4"/>
    <w:rsid w:val="038639B3"/>
    <w:rsid w:val="038E05E4"/>
    <w:rsid w:val="03AA4690"/>
    <w:rsid w:val="03C21D37"/>
    <w:rsid w:val="046837CA"/>
    <w:rsid w:val="048D5F88"/>
    <w:rsid w:val="04E50B95"/>
    <w:rsid w:val="056B42F1"/>
    <w:rsid w:val="05791EDF"/>
    <w:rsid w:val="05BE40FB"/>
    <w:rsid w:val="05D96387"/>
    <w:rsid w:val="063E7ECD"/>
    <w:rsid w:val="06EC6D6C"/>
    <w:rsid w:val="074C0B9F"/>
    <w:rsid w:val="07501C9E"/>
    <w:rsid w:val="07534192"/>
    <w:rsid w:val="075A3B1D"/>
    <w:rsid w:val="08245A97"/>
    <w:rsid w:val="085262B3"/>
    <w:rsid w:val="08552ABB"/>
    <w:rsid w:val="08E04C1D"/>
    <w:rsid w:val="09F47B7D"/>
    <w:rsid w:val="0A10160A"/>
    <w:rsid w:val="0A6B1830"/>
    <w:rsid w:val="0AFF4C18"/>
    <w:rsid w:val="0B860374"/>
    <w:rsid w:val="0B8C3188"/>
    <w:rsid w:val="0BDA04C1"/>
    <w:rsid w:val="0BF82C31"/>
    <w:rsid w:val="0C221C79"/>
    <w:rsid w:val="0C323D10"/>
    <w:rsid w:val="0C8B7C21"/>
    <w:rsid w:val="0C8E4429"/>
    <w:rsid w:val="0C93502E"/>
    <w:rsid w:val="0C9E6C42"/>
    <w:rsid w:val="0CAC0156"/>
    <w:rsid w:val="0CFA5CD7"/>
    <w:rsid w:val="0D0578EB"/>
    <w:rsid w:val="0DF97DF8"/>
    <w:rsid w:val="0E863815"/>
    <w:rsid w:val="0E987D02"/>
    <w:rsid w:val="0EB3632D"/>
    <w:rsid w:val="0EB43DAF"/>
    <w:rsid w:val="0F083839"/>
    <w:rsid w:val="0F0F53C2"/>
    <w:rsid w:val="0F1B11D4"/>
    <w:rsid w:val="0F7E1279"/>
    <w:rsid w:val="0FCD552D"/>
    <w:rsid w:val="102E25D5"/>
    <w:rsid w:val="105769DE"/>
    <w:rsid w:val="10640272"/>
    <w:rsid w:val="10757746"/>
    <w:rsid w:val="107D3D12"/>
    <w:rsid w:val="11A536D6"/>
    <w:rsid w:val="1241363F"/>
    <w:rsid w:val="12506973"/>
    <w:rsid w:val="12915003"/>
    <w:rsid w:val="12BE4BCE"/>
    <w:rsid w:val="13CB1888"/>
    <w:rsid w:val="13D36709"/>
    <w:rsid w:val="14044EE5"/>
    <w:rsid w:val="1439793E"/>
    <w:rsid w:val="14981ED6"/>
    <w:rsid w:val="14B64D09"/>
    <w:rsid w:val="14BB6C12"/>
    <w:rsid w:val="15576A90"/>
    <w:rsid w:val="155D7127"/>
    <w:rsid w:val="15DC256D"/>
    <w:rsid w:val="16AB4A65"/>
    <w:rsid w:val="16AF4AC3"/>
    <w:rsid w:val="16CD5C24"/>
    <w:rsid w:val="17217381"/>
    <w:rsid w:val="17265757"/>
    <w:rsid w:val="177644D0"/>
    <w:rsid w:val="177D5F83"/>
    <w:rsid w:val="18116C89"/>
    <w:rsid w:val="18F14F3F"/>
    <w:rsid w:val="19747E21"/>
    <w:rsid w:val="197539F0"/>
    <w:rsid w:val="19D208E0"/>
    <w:rsid w:val="1A065E3F"/>
    <w:rsid w:val="1A4E1AB7"/>
    <w:rsid w:val="1AE06C9D"/>
    <w:rsid w:val="1B162E37"/>
    <w:rsid w:val="1B5473C8"/>
    <w:rsid w:val="1B5F5177"/>
    <w:rsid w:val="1BC31618"/>
    <w:rsid w:val="1C307A4E"/>
    <w:rsid w:val="1CBC50B4"/>
    <w:rsid w:val="1D71080C"/>
    <w:rsid w:val="1D90090F"/>
    <w:rsid w:val="1DA55031"/>
    <w:rsid w:val="1DF0621A"/>
    <w:rsid w:val="1E29560A"/>
    <w:rsid w:val="1E8424A1"/>
    <w:rsid w:val="1EAE09F3"/>
    <w:rsid w:val="1EB612B4"/>
    <w:rsid w:val="1ED32220"/>
    <w:rsid w:val="1EF30556"/>
    <w:rsid w:val="1F0B5BFD"/>
    <w:rsid w:val="20694BCD"/>
    <w:rsid w:val="20CE32DF"/>
    <w:rsid w:val="20FF64F5"/>
    <w:rsid w:val="213A3C94"/>
    <w:rsid w:val="218B3C37"/>
    <w:rsid w:val="218C3D9D"/>
    <w:rsid w:val="219A700D"/>
    <w:rsid w:val="226B4005"/>
    <w:rsid w:val="229D5AD9"/>
    <w:rsid w:val="22CA1B74"/>
    <w:rsid w:val="23181B9F"/>
    <w:rsid w:val="23307F2B"/>
    <w:rsid w:val="23E45DF0"/>
    <w:rsid w:val="24554E2A"/>
    <w:rsid w:val="25001A40"/>
    <w:rsid w:val="253B3D9C"/>
    <w:rsid w:val="257D09A1"/>
    <w:rsid w:val="258C4EA7"/>
    <w:rsid w:val="25A869D6"/>
    <w:rsid w:val="26070074"/>
    <w:rsid w:val="264755DA"/>
    <w:rsid w:val="267F0A80"/>
    <w:rsid w:val="26CA7DB2"/>
    <w:rsid w:val="26CB5833"/>
    <w:rsid w:val="26E065DB"/>
    <w:rsid w:val="26F07FF2"/>
    <w:rsid w:val="27441630"/>
    <w:rsid w:val="27575417"/>
    <w:rsid w:val="27E34FFB"/>
    <w:rsid w:val="282C66F4"/>
    <w:rsid w:val="28593D41"/>
    <w:rsid w:val="286A3FDB"/>
    <w:rsid w:val="287E64FF"/>
    <w:rsid w:val="290618DB"/>
    <w:rsid w:val="29652F79"/>
    <w:rsid w:val="29760C95"/>
    <w:rsid w:val="297B511D"/>
    <w:rsid w:val="29A739E3"/>
    <w:rsid w:val="29B97180"/>
    <w:rsid w:val="29BD1409"/>
    <w:rsid w:val="29DF48AB"/>
    <w:rsid w:val="2A061555"/>
    <w:rsid w:val="2A1E4926"/>
    <w:rsid w:val="2A622B97"/>
    <w:rsid w:val="2A97F576"/>
    <w:rsid w:val="2ADF27E6"/>
    <w:rsid w:val="2AE46C6D"/>
    <w:rsid w:val="2B17347C"/>
    <w:rsid w:val="2B2E2CA4"/>
    <w:rsid w:val="2B58197D"/>
    <w:rsid w:val="2BD1105A"/>
    <w:rsid w:val="2C113E5C"/>
    <w:rsid w:val="2CAA3768"/>
    <w:rsid w:val="2CCF1C91"/>
    <w:rsid w:val="2CD92C56"/>
    <w:rsid w:val="2CEE4744"/>
    <w:rsid w:val="2D0C6A96"/>
    <w:rsid w:val="2D165938"/>
    <w:rsid w:val="2D18455E"/>
    <w:rsid w:val="2D5E027B"/>
    <w:rsid w:val="2D667852"/>
    <w:rsid w:val="2DC81EA9"/>
    <w:rsid w:val="2E773D2D"/>
    <w:rsid w:val="2EAFA368"/>
    <w:rsid w:val="2FEA2241"/>
    <w:rsid w:val="300F0BC6"/>
    <w:rsid w:val="308A2D31"/>
    <w:rsid w:val="31460EE6"/>
    <w:rsid w:val="317C6EE4"/>
    <w:rsid w:val="31A67308"/>
    <w:rsid w:val="31DA1F80"/>
    <w:rsid w:val="31F46358"/>
    <w:rsid w:val="32487A06"/>
    <w:rsid w:val="32767059"/>
    <w:rsid w:val="328153EA"/>
    <w:rsid w:val="32A81A27"/>
    <w:rsid w:val="33A46447"/>
    <w:rsid w:val="33C2127A"/>
    <w:rsid w:val="33E85C36"/>
    <w:rsid w:val="340D5E76"/>
    <w:rsid w:val="344714D3"/>
    <w:rsid w:val="34C42121"/>
    <w:rsid w:val="34DA42C5"/>
    <w:rsid w:val="35541A40"/>
    <w:rsid w:val="355F451E"/>
    <w:rsid w:val="367E74C8"/>
    <w:rsid w:val="36803217"/>
    <w:rsid w:val="36CC46F5"/>
    <w:rsid w:val="36FB19C1"/>
    <w:rsid w:val="37226D0E"/>
    <w:rsid w:val="372A4A8E"/>
    <w:rsid w:val="375D13AD"/>
    <w:rsid w:val="375F74E7"/>
    <w:rsid w:val="37C95891"/>
    <w:rsid w:val="382E3037"/>
    <w:rsid w:val="382F433C"/>
    <w:rsid w:val="38EA11EC"/>
    <w:rsid w:val="390C2A26"/>
    <w:rsid w:val="39793059"/>
    <w:rsid w:val="39814A1F"/>
    <w:rsid w:val="39A05497"/>
    <w:rsid w:val="3A476F2A"/>
    <w:rsid w:val="3A6015BE"/>
    <w:rsid w:val="3A782F7C"/>
    <w:rsid w:val="3ABD6832"/>
    <w:rsid w:val="3AC74982"/>
    <w:rsid w:val="3ACD2686"/>
    <w:rsid w:val="3B120994"/>
    <w:rsid w:val="3B181801"/>
    <w:rsid w:val="3B1F6C0D"/>
    <w:rsid w:val="3B9F29DF"/>
    <w:rsid w:val="3BA932EE"/>
    <w:rsid w:val="3BAF086D"/>
    <w:rsid w:val="3BB65808"/>
    <w:rsid w:val="3C334002"/>
    <w:rsid w:val="3D243E5F"/>
    <w:rsid w:val="3E343C9D"/>
    <w:rsid w:val="3EDD53AF"/>
    <w:rsid w:val="3EEE30CB"/>
    <w:rsid w:val="3F651E10"/>
    <w:rsid w:val="3F7C1A35"/>
    <w:rsid w:val="3F7FC206"/>
    <w:rsid w:val="3FBF3632"/>
    <w:rsid w:val="3FCB1C6F"/>
    <w:rsid w:val="3FF41212"/>
    <w:rsid w:val="408B3DF1"/>
    <w:rsid w:val="40D31FE7"/>
    <w:rsid w:val="415D6C7E"/>
    <w:rsid w:val="417662C5"/>
    <w:rsid w:val="41821ED2"/>
    <w:rsid w:val="41B03F53"/>
    <w:rsid w:val="41CA257F"/>
    <w:rsid w:val="41D30A4D"/>
    <w:rsid w:val="42056FB4"/>
    <w:rsid w:val="42064E58"/>
    <w:rsid w:val="42243F12"/>
    <w:rsid w:val="423346D0"/>
    <w:rsid w:val="4262727B"/>
    <w:rsid w:val="426B2108"/>
    <w:rsid w:val="42761334"/>
    <w:rsid w:val="42DB23BC"/>
    <w:rsid w:val="43A93D0E"/>
    <w:rsid w:val="43B43B06"/>
    <w:rsid w:val="43C03933"/>
    <w:rsid w:val="43C76B41"/>
    <w:rsid w:val="43D56927"/>
    <w:rsid w:val="441647C1"/>
    <w:rsid w:val="44DF1B8D"/>
    <w:rsid w:val="452F5D1D"/>
    <w:rsid w:val="45375A9E"/>
    <w:rsid w:val="454F1B13"/>
    <w:rsid w:val="458B7560"/>
    <w:rsid w:val="45B04499"/>
    <w:rsid w:val="45B362BF"/>
    <w:rsid w:val="46827EEC"/>
    <w:rsid w:val="46CD0AAD"/>
    <w:rsid w:val="46CD13B8"/>
    <w:rsid w:val="46CF48BB"/>
    <w:rsid w:val="47174A46"/>
    <w:rsid w:val="474D1906"/>
    <w:rsid w:val="47596A1D"/>
    <w:rsid w:val="478F40FD"/>
    <w:rsid w:val="47BD2EBF"/>
    <w:rsid w:val="47FB4028"/>
    <w:rsid w:val="48B24151"/>
    <w:rsid w:val="492F6EEB"/>
    <w:rsid w:val="49F031DE"/>
    <w:rsid w:val="4A103612"/>
    <w:rsid w:val="4A7E5620"/>
    <w:rsid w:val="4A9E22E4"/>
    <w:rsid w:val="4AB11F98"/>
    <w:rsid w:val="4B166E55"/>
    <w:rsid w:val="4B380F77"/>
    <w:rsid w:val="4B9A55DF"/>
    <w:rsid w:val="4BC33035"/>
    <w:rsid w:val="4BCF496E"/>
    <w:rsid w:val="4C28087F"/>
    <w:rsid w:val="4C89771F"/>
    <w:rsid w:val="4C983FC5"/>
    <w:rsid w:val="4D3F2C7D"/>
    <w:rsid w:val="4DC97FAC"/>
    <w:rsid w:val="4E5F7260"/>
    <w:rsid w:val="4EB05C4B"/>
    <w:rsid w:val="4F194455"/>
    <w:rsid w:val="4F6104D4"/>
    <w:rsid w:val="500A0449"/>
    <w:rsid w:val="50473843"/>
    <w:rsid w:val="50784012"/>
    <w:rsid w:val="50FA10E8"/>
    <w:rsid w:val="51334745"/>
    <w:rsid w:val="51360F4D"/>
    <w:rsid w:val="51DD1714"/>
    <w:rsid w:val="51FF6894"/>
    <w:rsid w:val="520F53AD"/>
    <w:rsid w:val="52E4668A"/>
    <w:rsid w:val="5385187E"/>
    <w:rsid w:val="53A15B43"/>
    <w:rsid w:val="53E14F71"/>
    <w:rsid w:val="53EE7D08"/>
    <w:rsid w:val="53F714FF"/>
    <w:rsid w:val="556FE2FD"/>
    <w:rsid w:val="55897BE2"/>
    <w:rsid w:val="55BF4839"/>
    <w:rsid w:val="55DE50EE"/>
    <w:rsid w:val="55F70216"/>
    <w:rsid w:val="55F96F9C"/>
    <w:rsid w:val="569D4227"/>
    <w:rsid w:val="56DE4C90"/>
    <w:rsid w:val="56EF6DF2"/>
    <w:rsid w:val="575D3F90"/>
    <w:rsid w:val="57B936FA"/>
    <w:rsid w:val="57FA79E6"/>
    <w:rsid w:val="58481B08"/>
    <w:rsid w:val="584A51E7"/>
    <w:rsid w:val="584D18A7"/>
    <w:rsid w:val="585A65D3"/>
    <w:rsid w:val="587E65EF"/>
    <w:rsid w:val="58A93002"/>
    <w:rsid w:val="58CC44BC"/>
    <w:rsid w:val="58F03B98"/>
    <w:rsid w:val="59967408"/>
    <w:rsid w:val="59FB11D5"/>
    <w:rsid w:val="5A79327D"/>
    <w:rsid w:val="5AC06CAB"/>
    <w:rsid w:val="5B035618"/>
    <w:rsid w:val="5B3F1D42"/>
    <w:rsid w:val="5B4B48F9"/>
    <w:rsid w:val="5B6F4A8F"/>
    <w:rsid w:val="5BCD22B6"/>
    <w:rsid w:val="5C1E3DBB"/>
    <w:rsid w:val="5C41066B"/>
    <w:rsid w:val="5C497C75"/>
    <w:rsid w:val="5CA96D95"/>
    <w:rsid w:val="5CDB4FE6"/>
    <w:rsid w:val="5CFF091F"/>
    <w:rsid w:val="5CFF338A"/>
    <w:rsid w:val="5D137894"/>
    <w:rsid w:val="5D8344FA"/>
    <w:rsid w:val="5EC21603"/>
    <w:rsid w:val="5EE23C31"/>
    <w:rsid w:val="5EF21D64"/>
    <w:rsid w:val="5F3C245E"/>
    <w:rsid w:val="5FA84A28"/>
    <w:rsid w:val="5FF90C34"/>
    <w:rsid w:val="5FFB9B99"/>
    <w:rsid w:val="6006195C"/>
    <w:rsid w:val="6009191A"/>
    <w:rsid w:val="603D2140"/>
    <w:rsid w:val="606C7440"/>
    <w:rsid w:val="607B1C59"/>
    <w:rsid w:val="60D422E8"/>
    <w:rsid w:val="615A652A"/>
    <w:rsid w:val="615D1C74"/>
    <w:rsid w:val="6171498D"/>
    <w:rsid w:val="617A62F9"/>
    <w:rsid w:val="62242BD8"/>
    <w:rsid w:val="62583769"/>
    <w:rsid w:val="6272745B"/>
    <w:rsid w:val="62B42F0E"/>
    <w:rsid w:val="62C46411"/>
    <w:rsid w:val="62DE1443"/>
    <w:rsid w:val="63672F22"/>
    <w:rsid w:val="637628BB"/>
    <w:rsid w:val="637C1792"/>
    <w:rsid w:val="63B2141C"/>
    <w:rsid w:val="64103880"/>
    <w:rsid w:val="64187EC6"/>
    <w:rsid w:val="64702AD3"/>
    <w:rsid w:val="64EC3722"/>
    <w:rsid w:val="65678500"/>
    <w:rsid w:val="656F0B9E"/>
    <w:rsid w:val="65724C80"/>
    <w:rsid w:val="659E3545"/>
    <w:rsid w:val="65D62F59"/>
    <w:rsid w:val="65F12966"/>
    <w:rsid w:val="66426252"/>
    <w:rsid w:val="6708580E"/>
    <w:rsid w:val="670C119E"/>
    <w:rsid w:val="670F2122"/>
    <w:rsid w:val="6714131E"/>
    <w:rsid w:val="67236BC5"/>
    <w:rsid w:val="67903975"/>
    <w:rsid w:val="67A13C10"/>
    <w:rsid w:val="67AF09A7"/>
    <w:rsid w:val="67CD705D"/>
    <w:rsid w:val="682D4AF8"/>
    <w:rsid w:val="68480F25"/>
    <w:rsid w:val="68856135"/>
    <w:rsid w:val="690470DA"/>
    <w:rsid w:val="691724F7"/>
    <w:rsid w:val="6960616F"/>
    <w:rsid w:val="69713E8B"/>
    <w:rsid w:val="69E563C8"/>
    <w:rsid w:val="6A4341E3"/>
    <w:rsid w:val="6A984F72"/>
    <w:rsid w:val="6AB841A2"/>
    <w:rsid w:val="6AF74FDC"/>
    <w:rsid w:val="6AFF2398"/>
    <w:rsid w:val="6B162A1E"/>
    <w:rsid w:val="6C511D45"/>
    <w:rsid w:val="6C6C0370"/>
    <w:rsid w:val="6CB01D5E"/>
    <w:rsid w:val="6D565D6F"/>
    <w:rsid w:val="6D8668BF"/>
    <w:rsid w:val="6DB53B8B"/>
    <w:rsid w:val="6DD63025"/>
    <w:rsid w:val="6DEF8AF3"/>
    <w:rsid w:val="6DFA1AA7"/>
    <w:rsid w:val="6E6ED678"/>
    <w:rsid w:val="6E950C7A"/>
    <w:rsid w:val="6EC8494C"/>
    <w:rsid w:val="6F2F0E79"/>
    <w:rsid w:val="6F992AA6"/>
    <w:rsid w:val="70A1043F"/>
    <w:rsid w:val="70B950FC"/>
    <w:rsid w:val="7152449F"/>
    <w:rsid w:val="71E835F0"/>
    <w:rsid w:val="71F80007"/>
    <w:rsid w:val="72000C97"/>
    <w:rsid w:val="7252521E"/>
    <w:rsid w:val="725B22AA"/>
    <w:rsid w:val="727AA83C"/>
    <w:rsid w:val="73090B43"/>
    <w:rsid w:val="733B519B"/>
    <w:rsid w:val="7358431F"/>
    <w:rsid w:val="73BF907D"/>
    <w:rsid w:val="73DD49A4"/>
    <w:rsid w:val="740A0CEC"/>
    <w:rsid w:val="743404F4"/>
    <w:rsid w:val="743453B3"/>
    <w:rsid w:val="743608B6"/>
    <w:rsid w:val="756957B0"/>
    <w:rsid w:val="756F513B"/>
    <w:rsid w:val="75821D13"/>
    <w:rsid w:val="7605562E"/>
    <w:rsid w:val="766E17DB"/>
    <w:rsid w:val="76936197"/>
    <w:rsid w:val="769900A0"/>
    <w:rsid w:val="76D35A6A"/>
    <w:rsid w:val="7775678A"/>
    <w:rsid w:val="77A34288"/>
    <w:rsid w:val="7807003C"/>
    <w:rsid w:val="78451F28"/>
    <w:rsid w:val="785E4509"/>
    <w:rsid w:val="78EE2E2A"/>
    <w:rsid w:val="794C7D62"/>
    <w:rsid w:val="797D10DD"/>
    <w:rsid w:val="79C23FD9"/>
    <w:rsid w:val="79DB6EF8"/>
    <w:rsid w:val="7A24483B"/>
    <w:rsid w:val="7A294414"/>
    <w:rsid w:val="7A446928"/>
    <w:rsid w:val="7AC32670"/>
    <w:rsid w:val="7AEF3E9E"/>
    <w:rsid w:val="7AF52EC8"/>
    <w:rsid w:val="7BA342E6"/>
    <w:rsid w:val="7BFF96E0"/>
    <w:rsid w:val="7C694FA8"/>
    <w:rsid w:val="7C9946CD"/>
    <w:rsid w:val="7D79646A"/>
    <w:rsid w:val="7DBF239F"/>
    <w:rsid w:val="7E2D0DB6"/>
    <w:rsid w:val="7E507FA2"/>
    <w:rsid w:val="7E5B6A5D"/>
    <w:rsid w:val="7EC21C85"/>
    <w:rsid w:val="7EC8206C"/>
    <w:rsid w:val="7EFEE3D9"/>
    <w:rsid w:val="7F0D4C91"/>
    <w:rsid w:val="7F15170F"/>
    <w:rsid w:val="7FBF230D"/>
    <w:rsid w:val="85FF20AF"/>
    <w:rsid w:val="A7BF6708"/>
    <w:rsid w:val="ABF3858C"/>
    <w:rsid w:val="AFFF2D19"/>
    <w:rsid w:val="B1BC1E0F"/>
    <w:rsid w:val="BFB2E340"/>
    <w:rsid w:val="BFCFB960"/>
    <w:rsid w:val="CD9C44FA"/>
    <w:rsid w:val="CFFD4E76"/>
    <w:rsid w:val="D6558290"/>
    <w:rsid w:val="D953BB40"/>
    <w:rsid w:val="DDFD2CA8"/>
    <w:rsid w:val="DFFF116E"/>
    <w:rsid w:val="E3F5246D"/>
    <w:rsid w:val="E3F5CE11"/>
    <w:rsid w:val="EB7B707A"/>
    <w:rsid w:val="EC329A18"/>
    <w:rsid w:val="EEFB3598"/>
    <w:rsid w:val="EF63A978"/>
    <w:rsid w:val="F36D4382"/>
    <w:rsid w:val="F3EF9ABC"/>
    <w:rsid w:val="F3FF61B9"/>
    <w:rsid w:val="F5BF2758"/>
    <w:rsid w:val="F7EF3CDB"/>
    <w:rsid w:val="FB5FCE80"/>
    <w:rsid w:val="FBCB9677"/>
    <w:rsid w:val="FBF3A27F"/>
    <w:rsid w:val="FDBFEB7B"/>
    <w:rsid w:val="FF88CF70"/>
    <w:rsid w:val="FFFF9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18">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19">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pPr>
      <w:jc w:val="center"/>
      <w:textAlignment w:val="baseline"/>
    </w:pPr>
    <w:rPr>
      <w:rFonts w:ascii="宋体" w:hAnsi="Courier New"/>
      <w:sz w:val="24"/>
      <w:szCs w:val="20"/>
    </w:rPr>
  </w:style>
  <w:style w:type="paragraph" w:customStyle="1" w:styleId="4">
    <w:name w:val="样式35"/>
    <w:basedOn w:val="5"/>
    <w:next w:val="6"/>
    <w:qFormat/>
    <w:uiPriority w:val="0"/>
    <w:pPr>
      <w:tabs>
        <w:tab w:val="left" w:pos="0"/>
        <w:tab w:val="left" w:pos="360"/>
        <w:tab w:val="left" w:pos="540"/>
        <w:tab w:val="left" w:pos="567"/>
        <w:tab w:val="left" w:pos="720"/>
      </w:tabs>
      <w:adjustRightInd w:val="0"/>
      <w:snapToGrid w:val="0"/>
      <w:spacing w:line="360" w:lineRule="auto"/>
      <w:ind w:firstLine="1995" w:firstLineChars="950"/>
      <w:jc w:val="both"/>
    </w:pPr>
    <w:rPr>
      <w:rFonts w:ascii="黑体" w:eastAsia="黑体"/>
      <w:sz w:val="21"/>
      <w:szCs w:val="21"/>
    </w:rPr>
  </w:style>
  <w:style w:type="paragraph" w:customStyle="1" w:styleId="5">
    <w:name w:val="表 内容"/>
    <w:basedOn w:val="1"/>
    <w:qFormat/>
    <w:uiPriority w:val="0"/>
    <w:pPr>
      <w:adjustRightInd w:val="0"/>
      <w:snapToGrid w:val="0"/>
      <w:spacing w:beforeLines="10" w:afterLines="10"/>
      <w:jc w:val="center"/>
    </w:pPr>
    <w:rPr>
      <w:szCs w:val="21"/>
    </w:rPr>
  </w:style>
  <w:style w:type="paragraph" w:customStyle="1" w:styleId="6">
    <w:name w:val="font6"/>
    <w:basedOn w:val="1"/>
    <w:next w:val="7"/>
    <w:qFormat/>
    <w:uiPriority w:val="0"/>
    <w:pPr>
      <w:widowControl/>
      <w:spacing w:before="280" w:beforeLines="0" w:after="280" w:afterLines="0"/>
    </w:pPr>
  </w:style>
  <w:style w:type="paragraph" w:styleId="7">
    <w:name w:val="toc 2"/>
    <w:basedOn w:val="1"/>
    <w:next w:val="8"/>
    <w:qFormat/>
    <w:uiPriority w:val="0"/>
    <w:pPr>
      <w:ind w:left="420" w:leftChars="200"/>
    </w:pPr>
  </w:style>
  <w:style w:type="paragraph" w:styleId="8">
    <w:name w:val="E-mail Signature"/>
    <w:basedOn w:val="1"/>
    <w:next w:val="9"/>
    <w:qFormat/>
    <w:uiPriority w:val="0"/>
    <w:pPr>
      <w:spacing w:line="460" w:lineRule="exact"/>
      <w:ind w:firstLine="200"/>
    </w:pPr>
  </w:style>
  <w:style w:type="paragraph" w:customStyle="1" w:styleId="9">
    <w:name w:val="文章"/>
    <w:basedOn w:val="10"/>
    <w:next w:val="13"/>
    <w:qFormat/>
    <w:uiPriority w:val="0"/>
    <w:pPr>
      <w:widowControl/>
      <w:ind w:firstLine="480"/>
      <w:jc w:val="center"/>
    </w:pPr>
    <w:rPr>
      <w:sz w:val="26"/>
    </w:rPr>
  </w:style>
  <w:style w:type="paragraph" w:styleId="10">
    <w:name w:val="Body Text Indent"/>
    <w:basedOn w:val="1"/>
    <w:next w:val="11"/>
    <w:qFormat/>
    <w:uiPriority w:val="0"/>
    <w:pPr>
      <w:widowControl/>
      <w:ind w:firstLine="430"/>
    </w:pPr>
    <w:rPr>
      <w:kern w:val="0"/>
      <w:sz w:val="28"/>
      <w:szCs w:val="20"/>
    </w:rPr>
  </w:style>
  <w:style w:type="paragraph" w:styleId="11">
    <w:name w:val="Body Text"/>
    <w:basedOn w:val="1"/>
    <w:next w:val="12"/>
    <w:qFormat/>
    <w:uiPriority w:val="0"/>
    <w:pPr>
      <w:spacing w:after="120" w:afterLines="0"/>
    </w:pPr>
  </w:style>
  <w:style w:type="paragraph" w:styleId="12">
    <w:name w:val="Normal Indent"/>
    <w:basedOn w:val="1"/>
    <w:next w:val="1"/>
    <w:qFormat/>
    <w:uiPriority w:val="0"/>
    <w:pPr>
      <w:widowControl/>
      <w:ind w:firstLine="420"/>
      <w:jc w:val="left"/>
    </w:pPr>
    <w:rPr>
      <w:kern w:val="0"/>
      <w:sz w:val="24"/>
      <w:szCs w:val="20"/>
    </w:rPr>
  </w:style>
  <w:style w:type="paragraph" w:styleId="13">
    <w:name w:val="List"/>
    <w:basedOn w:val="1"/>
    <w:next w:val="14"/>
    <w:qFormat/>
    <w:uiPriority w:val="0"/>
    <w:pPr>
      <w:ind w:left="200" w:hanging="200" w:hangingChars="200"/>
      <w:contextualSpacing/>
    </w:pPr>
  </w:style>
  <w:style w:type="paragraph" w:styleId="14">
    <w:name w:val="List Bullet 2"/>
    <w:basedOn w:val="1"/>
    <w:next w:val="15"/>
    <w:qFormat/>
    <w:uiPriority w:val="0"/>
    <w:pPr>
      <w:numPr>
        <w:ilvl w:val="0"/>
        <w:numId w:val="1"/>
      </w:numPr>
    </w:pPr>
  </w:style>
  <w:style w:type="paragraph" w:customStyle="1" w:styleId="15">
    <w:name w:val="xl70"/>
    <w:basedOn w:val="1"/>
    <w:next w:val="16"/>
    <w:qFormat/>
    <w:uiPriority w:val="0"/>
    <w:pPr>
      <w:widowControl/>
      <w:spacing w:before="280" w:beforeLines="0" w:after="280" w:afterLines="0"/>
    </w:pPr>
    <w:rPr>
      <w:rFonts w:ascii="宋体"/>
    </w:rPr>
  </w:style>
  <w:style w:type="paragraph" w:customStyle="1" w:styleId="16">
    <w:name w:val="正文缩进1"/>
    <w:basedOn w:val="12"/>
    <w:next w:val="17"/>
    <w:qFormat/>
    <w:uiPriority w:val="0"/>
    <w:pPr>
      <w:ind w:firstLine="420"/>
    </w:pPr>
    <w:rPr>
      <w:rFonts w:ascii="宋体"/>
      <w:sz w:val="28"/>
    </w:rPr>
  </w:style>
  <w:style w:type="paragraph" w:customStyle="1" w:styleId="17">
    <w:name w:val="td1"/>
    <w:basedOn w:val="1"/>
    <w:next w:val="1"/>
    <w:qFormat/>
    <w:uiPriority w:val="0"/>
    <w:pPr>
      <w:widowControl/>
      <w:spacing w:before="280" w:beforeLines="0" w:after="280" w:afterLines="0" w:line="300" w:lineRule="atLeast"/>
      <w:ind w:firstLine="200"/>
    </w:pPr>
    <w:rPr>
      <w:color w:val="000000"/>
      <w:sz w:val="18"/>
    </w:rPr>
  </w:style>
  <w:style w:type="paragraph" w:styleId="20">
    <w:name w:val="List 3"/>
    <w:basedOn w:val="1"/>
    <w:qFormat/>
    <w:uiPriority w:val="0"/>
    <w:pPr>
      <w:autoSpaceDE w:val="0"/>
      <w:autoSpaceDN w:val="0"/>
      <w:adjustRightInd w:val="0"/>
      <w:spacing w:line="288" w:lineRule="auto"/>
      <w:ind w:left="1260" w:hanging="420"/>
      <w:jc w:val="left"/>
      <w:textAlignment w:val="baseline"/>
    </w:pPr>
    <w:rPr>
      <w:kern w:val="0"/>
      <w:sz w:val="24"/>
    </w:rPr>
  </w:style>
  <w:style w:type="paragraph" w:styleId="21">
    <w:name w:val="Plain Text"/>
    <w:basedOn w:val="1"/>
    <w:next w:val="1"/>
    <w:qFormat/>
    <w:uiPriority w:val="0"/>
    <w:rPr>
      <w:rFonts w:ascii="宋体" w:hAnsi="Courier New" w:eastAsia="宋体"/>
      <w:kern w:val="2"/>
      <w:sz w:val="28"/>
      <w:lang w:val="en-US" w:eastAsia="zh-CN" w:bidi="ar-SA"/>
    </w:rPr>
  </w:style>
  <w:style w:type="paragraph" w:styleId="22">
    <w:name w:val="Body Text Indent 2"/>
    <w:basedOn w:val="1"/>
    <w:qFormat/>
    <w:uiPriority w:val="0"/>
    <w:pPr>
      <w:widowControl/>
      <w:ind w:firstLine="430"/>
      <w:jc w:val="left"/>
    </w:pPr>
    <w:rPr>
      <w:kern w:val="0"/>
      <w:sz w:val="24"/>
      <w:szCs w:val="20"/>
    </w:rPr>
  </w:style>
  <w:style w:type="paragraph" w:styleId="23">
    <w:name w:val="footer"/>
    <w:basedOn w:val="1"/>
    <w:qFormat/>
    <w:uiPriority w:val="0"/>
    <w:pPr>
      <w:tabs>
        <w:tab w:val="center" w:pos="4153"/>
        <w:tab w:val="right" w:pos="8306"/>
      </w:tabs>
      <w:snapToGrid w:val="0"/>
      <w:jc w:val="left"/>
    </w:pPr>
    <w:rPr>
      <w:kern w:val="2"/>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7">
    <w:name w:val="样式26"/>
    <w:basedOn w:val="28"/>
    <w:qFormat/>
    <w:uiPriority w:val="0"/>
    <w:pPr>
      <w:tabs>
        <w:tab w:val="left" w:pos="0"/>
        <w:tab w:val="left" w:pos="360"/>
        <w:tab w:val="left" w:pos="540"/>
        <w:tab w:val="left" w:pos="567"/>
        <w:tab w:val="left" w:pos="720"/>
      </w:tabs>
    </w:pPr>
  </w:style>
  <w:style w:type="paragraph" w:customStyle="1" w:styleId="28">
    <w:name w:val="样式21"/>
    <w:basedOn w:val="29"/>
    <w:qFormat/>
    <w:uiPriority w:val="0"/>
    <w:pPr>
      <w:tabs>
        <w:tab w:val="left" w:pos="360"/>
        <w:tab w:val="left" w:pos="540"/>
        <w:tab w:val="left" w:pos="567"/>
        <w:tab w:val="left" w:pos="720"/>
      </w:tabs>
      <w:spacing w:before="120" w:after="120"/>
      <w:ind w:left="720" w:hanging="720"/>
      <w:outlineLvl w:val="2"/>
    </w:pPr>
    <w:rPr>
      <w:kern w:val="0"/>
      <w:sz w:val="24"/>
      <w:szCs w:val="32"/>
    </w:rPr>
  </w:style>
  <w:style w:type="paragraph" w:customStyle="1" w:styleId="29">
    <w:name w:val="样式5"/>
    <w:basedOn w:val="30"/>
    <w:qFormat/>
    <w:uiPriority w:val="0"/>
    <w:pPr>
      <w:tabs>
        <w:tab w:val="left" w:pos="360"/>
        <w:tab w:val="left" w:pos="567"/>
      </w:tabs>
      <w:outlineLvl w:val="9"/>
    </w:pPr>
    <w:rPr>
      <w:rFonts w:ascii="Times New Roman" w:hAnsi="Times New Roman"/>
      <w:b/>
    </w:rPr>
  </w:style>
  <w:style w:type="paragraph" w:customStyle="1" w:styleId="30">
    <w:name w:val="样式12"/>
    <w:basedOn w:val="1"/>
    <w:qFormat/>
    <w:uiPriority w:val="0"/>
    <w:pPr>
      <w:keepNext/>
      <w:keepLines/>
      <w:tabs>
        <w:tab w:val="left" w:pos="360"/>
        <w:tab w:val="left" w:pos="567"/>
      </w:tabs>
      <w:spacing w:before="156" w:beforeLines="50" w:after="156" w:afterLines="50" w:line="360" w:lineRule="auto"/>
      <w:ind w:left="567" w:hanging="992"/>
      <w:outlineLvl w:val="1"/>
    </w:pPr>
    <w:rPr>
      <w:rFonts w:eastAsia="黑体"/>
      <w:sz w:val="28"/>
      <w:szCs w:val="28"/>
    </w:rPr>
  </w:style>
  <w:style w:type="paragraph" w:customStyle="1" w:styleId="31">
    <w:name w:val="表格"/>
    <w:basedOn w:val="12"/>
    <w:next w:val="1"/>
    <w:qFormat/>
    <w:uiPriority w:val="0"/>
    <w:pPr>
      <w:adjustRightInd w:val="0"/>
      <w:textAlignment w:val="center"/>
    </w:pPr>
    <w:rPr>
      <w:rFonts w:eastAsia="仿宋_GB2312"/>
      <w:kern w:val="2"/>
      <w:szCs w:val="20"/>
    </w:rPr>
  </w:style>
  <w:style w:type="paragraph" w:customStyle="1" w:styleId="32">
    <w:name w:val="Body text|1"/>
    <w:basedOn w:val="1"/>
    <w:qFormat/>
    <w:uiPriority w:val="0"/>
    <w:pPr>
      <w:spacing w:line="430" w:lineRule="auto"/>
      <w:ind w:firstLine="400"/>
    </w:pPr>
    <w:rPr>
      <w:rFonts w:ascii="宋体" w:hAnsi="宋体" w:eastAsia="宋体" w:cs="宋体"/>
      <w:sz w:val="30"/>
      <w:szCs w:val="30"/>
      <w:lang w:val="zh-TW" w:eastAsia="zh-TW" w:bidi="zh-TW"/>
    </w:rPr>
  </w:style>
  <w:style w:type="paragraph" w:customStyle="1" w:styleId="33">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
    <w:name w:val="首行缩进"/>
    <w:basedOn w:val="1"/>
    <w:qFormat/>
    <w:uiPriority w:val="0"/>
    <w:pPr>
      <w:spacing w:line="360" w:lineRule="auto"/>
      <w:ind w:firstLine="200" w:firstLineChars="200"/>
      <w:jc w:val="both"/>
    </w:pPr>
    <w:rPr>
      <w:rFonts w:ascii="宋体" w:hAnsi="宋体" w:eastAsia="宋体" w:cs="宋体"/>
      <w:color w:val="auto"/>
      <w:kern w:val="2"/>
      <w:lang w:eastAsia="zh-CN" w:bidi="ar-SA"/>
    </w:rPr>
  </w:style>
  <w:style w:type="paragraph" w:customStyle="1" w:styleId="35">
    <w:name w:val="a表格内"/>
    <w:basedOn w:val="1"/>
    <w:qFormat/>
    <w:uiPriority w:val="0"/>
    <w:pPr>
      <w:widowControl/>
      <w:spacing w:line="340" w:lineRule="atLeast"/>
      <w:jc w:val="center"/>
    </w:pPr>
    <w:rPr>
      <w:rFonts w:cs="宋体"/>
      <w:bCs/>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2023-09-15T23:51:00Z</dcterms:created>
  <dc:creator>盘莉莉</dc:creator>
  <cp:lastModifiedBy>user</cp:lastModifiedBy>
  <cp:lastPrinted>2026-04-24T08:06:00Z</cp:lastPrinted>
  <dcterms:modified xsi:type="dcterms:W3CDTF">2026-05-11T17:04:54Z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8AFEBBD010893A74F949016AAFEC648B</vt:lpwstr>
  </property>
</Properties>
</file>