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000000"/>
          <w:spacing w:val="0"/>
          <w:sz w:val="44"/>
          <w:szCs w:val="44"/>
          <w:lang w:val="en-US" w:eastAsia="zh-CN"/>
        </w:rPr>
      </w:pPr>
      <w:bookmarkStart w:id="0" w:name="_Toc9401"/>
      <w:r>
        <w:rPr>
          <w:rFonts w:hint="eastAsia" w:ascii="方正小标宋_GBK" w:hAnsi="方正小标宋_GBK" w:eastAsia="方正小标宋_GBK"/>
          <w:sz w:val="44"/>
          <w:lang w:eastAsia="zh-CN"/>
        </w:rPr>
        <w:t>清城洲心清城区第三幼儿园“</w:t>
      </w:r>
      <w:r>
        <w:rPr>
          <w:rFonts w:hint="eastAsia" w:ascii="方正小标宋_GBK" w:hAnsi="方正小标宋_GBK" w:eastAsia="方正小标宋_GBK"/>
          <w:sz w:val="44"/>
          <w:lang w:val="en-US" w:eastAsia="zh-CN"/>
        </w:rPr>
        <w:t>8·31”</w:t>
      </w:r>
      <w:bookmarkEnd w:id="0"/>
      <w:r>
        <w:rPr>
          <w:rFonts w:hint="eastAsia" w:ascii="方正小标宋_GBK" w:hAnsi="方正小标宋_GBK" w:eastAsia="方正小标宋_GBK"/>
          <w:sz w:val="44"/>
          <w:lang w:val="en-US" w:eastAsia="zh-CN"/>
        </w:rPr>
        <w:t>一般高处坠落事故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50"/>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2023年8月31日11时29分许，位于洲心街峡山路的清城区第三幼儿园内，一名工人在进行雨棚升级改造工程作业时，从高处坠落地面，经抢救无效死亡。事故发生后，清城区人民政府依法成立事故调查组，开展了事故调查，并形成《清城洲心清城区第三幼儿园“8·31”一般高处坠落事故调查报告》（以下简称《事故调查报告》）。2024年7月22日，《事故调查报告》经清城区人民政府批复同意结案。</w:t>
      </w:r>
    </w:p>
    <w:p>
      <w:pPr>
        <w:pStyle w:val="4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清城洲心清城区第三幼儿园“8·31”一般高处坠落事故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8"/>
        <w:keepNext w:val="0"/>
        <w:keepLines w:val="0"/>
        <w:pageBreakBefore w:val="0"/>
        <w:widowControl w:val="0"/>
        <w:numPr>
          <w:ilvl w:val="0"/>
          <w:numId w:val="0"/>
        </w:numPr>
        <w:tabs>
          <w:tab w:val="left" w:pos="3572"/>
        </w:tabs>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（一）清远市隆博玻璃有限公司及其法定代表人。</w:t>
      </w:r>
      <w:r>
        <w:rPr>
          <w:rFonts w:hint="eastAsia" w:ascii="仿宋_GB2312" w:hAnsi="仿宋_GB2312" w:eastAsia="仿宋_GB2312" w:cs="仿宋_GB2312"/>
          <w:b w:val="0"/>
          <w:bCs w:val="0"/>
          <w:color w:val="auto"/>
          <w:sz w:val="32"/>
          <w:szCs w:val="32"/>
          <w:highlight w:val="none"/>
          <w:lang w:val="en-US" w:eastAsia="zh-CN"/>
        </w:rPr>
        <w:t>作为涉事工程的现场施工单位，在不具备资质情况下进行施工作业，并雇佣不具备高处作业资格人员登高作业，日常安全生产管理缺失，对事故的发生负有直接责任。清城区应急管理局已分别依据《安全生产法》</w:t>
      </w:r>
      <w:r>
        <w:rPr>
          <w:rFonts w:hint="eastAsia" w:ascii="仿宋_GB2312" w:hAnsi="仿宋_GB2312" w:eastAsia="仿宋_GB2312" w:cs="仿宋_GB2312"/>
          <w:sz w:val="32"/>
          <w:szCs w:val="32"/>
          <w:lang w:val="en-US" w:eastAsia="zh-CN"/>
        </w:rPr>
        <w:t>第一百一十四条第一款、第九十五条第一款</w:t>
      </w:r>
      <w:r>
        <w:rPr>
          <w:rStyle w:val="15"/>
          <w:rFonts w:hint="eastAsia" w:ascii="仿宋_GB2312" w:hAnsi="仿宋_GB2312" w:eastAsia="仿宋_GB2312" w:cs="仿宋_GB2312"/>
          <w:b w:val="0"/>
          <w:bCs w:val="0"/>
          <w:color w:val="auto"/>
          <w:sz w:val="32"/>
          <w:szCs w:val="32"/>
          <w:highlight w:val="none"/>
          <w:lang w:val="en-US" w:eastAsia="zh-CN"/>
        </w:rPr>
        <w:footnoteReference w:id="0"/>
      </w:r>
      <w:r>
        <w:rPr>
          <w:rFonts w:hint="eastAsia" w:ascii="仿宋_GB2312" w:hAnsi="仿宋_GB2312" w:eastAsia="仿宋_GB2312" w:cs="仿宋_GB2312"/>
          <w:b w:val="0"/>
          <w:bCs w:val="0"/>
          <w:color w:val="auto"/>
          <w:sz w:val="32"/>
          <w:szCs w:val="32"/>
          <w:highlight w:val="none"/>
          <w:lang w:val="en-US" w:eastAsia="zh-CN"/>
        </w:rPr>
        <w:t>对其作出行政处罚。</w:t>
      </w:r>
    </w:p>
    <w:p>
      <w:pPr>
        <w:pStyle w:val="48"/>
        <w:keepNext w:val="0"/>
        <w:keepLines w:val="0"/>
        <w:pageBreakBefore w:val="0"/>
        <w:widowControl w:val="0"/>
        <w:numPr>
          <w:ilvl w:val="0"/>
          <w:numId w:val="0"/>
        </w:numPr>
        <w:tabs>
          <w:tab w:val="left" w:pos="3572"/>
        </w:tabs>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（二）清远市拓峰建设工程有限公司及其法定代表人。</w:t>
      </w:r>
      <w:r>
        <w:rPr>
          <w:rFonts w:hint="eastAsia" w:ascii="仿宋_GB2312" w:hAnsi="仿宋_GB2312" w:eastAsia="仿宋_GB2312" w:cs="仿宋_GB2312"/>
          <w:b w:val="0"/>
          <w:bCs w:val="0"/>
          <w:color w:val="auto"/>
          <w:sz w:val="32"/>
          <w:szCs w:val="32"/>
          <w:highlight w:val="none"/>
          <w:lang w:val="en-US" w:eastAsia="zh-CN"/>
        </w:rPr>
        <w:t>作为建设工程承包单位，在不具备资质情况下承建工程，并把工程转包给不具备施工资质的清远市隆博玻璃有限公司施工，并委派不具备资质人员对作业现场进行安全管理，存在“以包代管”行为，对事故的发生负有管理责任。清城区住房和城乡建设局已依据相关法律法规对其作出行政处罚。</w:t>
      </w:r>
    </w:p>
    <w:p>
      <w:pPr>
        <w:pStyle w:val="48"/>
        <w:keepNext w:val="0"/>
        <w:keepLines w:val="0"/>
        <w:pageBreakBefore w:val="0"/>
        <w:widowControl w:val="0"/>
        <w:numPr>
          <w:ilvl w:val="0"/>
          <w:numId w:val="0"/>
        </w:numPr>
        <w:tabs>
          <w:tab w:val="left" w:pos="3572"/>
        </w:tabs>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（三）何*莹（自然人）。</w:t>
      </w:r>
      <w:r>
        <w:rPr>
          <w:rFonts w:hint="eastAsia" w:ascii="仿宋_GB2312" w:hAnsi="仿宋_GB2312" w:eastAsia="仿宋_GB2312" w:cs="仿宋_GB2312"/>
          <w:b w:val="0"/>
          <w:bCs w:val="0"/>
          <w:color w:val="auto"/>
          <w:sz w:val="32"/>
          <w:szCs w:val="32"/>
          <w:highlight w:val="none"/>
          <w:lang w:val="en-US" w:eastAsia="zh-CN"/>
        </w:rPr>
        <w:t>在挂靠清远市拓峰建设工程有限公司情况下，把工程转包给不具备施工资质的清远市隆博玻璃有限公司施工，并在不具备资质情况下对作业现场进行安全管理，对事故的发生负有管理责任。清远市拓峰建设工程有限公司已按照章程和规定对其作出处理。</w:t>
      </w:r>
    </w:p>
    <w:p>
      <w:pPr>
        <w:pStyle w:val="47"/>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lang w:val="en-US" w:eastAsia="zh-CN"/>
        </w:rPr>
        <w:t>（四）清远市清城区第三</w:t>
      </w:r>
      <w:r>
        <w:rPr>
          <w:rFonts w:hint="eastAsia" w:ascii="楷体_GB2312" w:hAnsi="楷体_GB2312" w:eastAsia="楷体_GB2312" w:cs="楷体_GB2312"/>
          <w:b w:val="0"/>
          <w:bCs w:val="0"/>
          <w:color w:val="auto"/>
          <w:sz w:val="32"/>
          <w:szCs w:val="32"/>
          <w:highlight w:val="none"/>
          <w:lang w:val="en-US" w:eastAsia="zh-CN"/>
        </w:rPr>
        <w:t>幼儿园及其法定代表人。</w:t>
      </w:r>
      <w:r>
        <w:rPr>
          <w:rFonts w:hint="eastAsia" w:ascii="仿宋_GB2312" w:hAnsi="仿宋_GB2312" w:eastAsia="仿宋_GB2312" w:cs="仿宋_GB2312"/>
          <w:b w:val="0"/>
          <w:bCs w:val="0"/>
          <w:color w:val="auto"/>
          <w:sz w:val="32"/>
          <w:szCs w:val="32"/>
          <w:highlight w:val="none"/>
          <w:lang w:val="en-US" w:eastAsia="zh-CN"/>
        </w:rPr>
        <w:t>作为建设单位把大门及雨棚升级改造工程直接发包给不具备资质的清远市拓峰建设工程有限公司承建，对事故的发生负有责任。清城区教育局已按照相关规定对其作出行政处理。</w:t>
      </w:r>
    </w:p>
    <w:p>
      <w:pPr>
        <w:pStyle w:val="47"/>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楷体_GB2312" w:hAnsi="楷体_GB2312" w:eastAsia="楷体_GB2312" w:cs="楷体_GB2312"/>
          <w:b w:val="0"/>
          <w:bCs w:val="0"/>
          <w:sz w:val="32"/>
          <w:lang w:val="en-US" w:eastAsia="zh-CN"/>
        </w:rPr>
        <w:t>（一）</w:t>
      </w:r>
      <w:r>
        <w:rPr>
          <w:rFonts w:hint="eastAsia" w:ascii="仿宋_GB2312" w:hAnsi="仿宋_GB2312" w:eastAsia="仿宋_GB2312" w:cs="仿宋_GB2312"/>
          <w:b w:val="0"/>
          <w:bCs w:val="0"/>
          <w:sz w:val="32"/>
          <w:lang w:val="en-US" w:eastAsia="zh-CN"/>
        </w:rPr>
        <w:t>思想重视。近</w:t>
      </w:r>
      <w:r>
        <w:rPr>
          <w:rFonts w:hint="eastAsia" w:ascii="仿宋_GB2312" w:hAnsi="仿宋_GB2312" w:eastAsia="仿宋_GB2312" w:cs="仿宋_GB2312"/>
          <w:sz w:val="32"/>
          <w:lang w:val="en-US" w:eastAsia="zh-CN"/>
        </w:rPr>
        <w:t>年，我区发生多起高处坠落事故，对人民生命财产安全造成严重损失，教训深刻。各级、各部门要加强对属地、监管行业的安全生产状况的了解与把握，强化执法检查力度。对建设工程的建设、承包、施工、监理等单位要严把准入门槛，严禁不具备资质单位承接相应的建设工程，从源头上杜绝事故的发生。</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楷体_GB2312" w:hAnsi="楷体_GB2312" w:eastAsia="楷体_GB2312" w:cs="楷体_GB2312"/>
          <w:sz w:val="32"/>
          <w:lang w:val="en-US" w:eastAsia="zh-CN"/>
        </w:rPr>
        <w:t>（二）</w:t>
      </w:r>
      <w:r>
        <w:rPr>
          <w:rFonts w:hint="eastAsia" w:ascii="仿宋_GB2312" w:hAnsi="仿宋_GB2312" w:eastAsia="仿宋_GB2312" w:cs="仿宋_GB2312"/>
          <w:sz w:val="32"/>
          <w:lang w:val="en-US" w:eastAsia="zh-CN"/>
        </w:rPr>
        <w:t>建设工程项目各相关单位加强对施工现场的管理，做好开工前施工方案和安全技术措施交底。施工现场要配备相应资质的项目负责人和安全管理人员，强化安全检查力度，严禁出现违法违规行为的出现。</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楷体_GB2312" w:hAnsi="楷体_GB2312" w:eastAsia="楷体_GB2312" w:cs="楷体_GB2312"/>
          <w:sz w:val="32"/>
          <w:lang w:val="en-US" w:eastAsia="zh-CN"/>
        </w:rPr>
        <w:t>（三）</w:t>
      </w:r>
      <w:r>
        <w:rPr>
          <w:rFonts w:hint="eastAsia" w:ascii="仿宋_GB2312" w:hAnsi="仿宋_GB2312" w:eastAsia="仿宋_GB2312" w:cs="仿宋_GB2312"/>
          <w:sz w:val="32"/>
          <w:lang w:val="en-US" w:eastAsia="zh-CN"/>
        </w:rPr>
        <w:t>各相关职责部门已</w:t>
      </w:r>
      <w:bookmarkStart w:id="1" w:name="_GoBack"/>
      <w:bookmarkEnd w:id="1"/>
      <w:r>
        <w:rPr>
          <w:rFonts w:hint="eastAsia" w:ascii="仿宋_GB2312" w:hAnsi="仿宋_GB2312" w:eastAsia="仿宋_GB2312" w:cs="仿宋_GB2312"/>
          <w:sz w:val="32"/>
          <w:lang w:val="en-US" w:eastAsia="zh-CN"/>
        </w:rPr>
        <w:t>严厉打击建筑市场违法违规行为，</w:t>
      </w:r>
      <w:r>
        <w:rPr>
          <w:rFonts w:hint="eastAsia" w:ascii="仿宋_GB2312" w:hAnsi="仿宋_GB2312" w:eastAsia="仿宋_GB2312" w:cs="仿宋_GB2312"/>
          <w:b w:val="0"/>
          <w:bCs w:val="0"/>
          <w:color w:val="auto"/>
          <w:sz w:val="32"/>
          <w:szCs w:val="32"/>
          <w:highlight w:val="none"/>
          <w:lang w:val="en-US" w:eastAsia="zh-CN"/>
        </w:rPr>
        <w:t>举一反三，严厉打击建设工程项目未办理规划许可、工程施工许可等法定建设手续，擅自开工的；建筑施工、监理企业无相关资质或超资质范围承揽工程，违法分包和转包的；建筑施工企业无安全生产许可证擅自从事建筑施工活动的；建筑施工企业主要负责人、项目负责人、专职安全管理人员无安全生产考核证书的；建筑施工特种作业人员无操作证书，从事建筑施工活动的。</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4"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7"/>
        <w:snapToGrid w:val="0"/>
        <w:rPr>
          <w:rFonts w:hint="default" w:eastAsia="宋体"/>
          <w:lang w:val="en-US" w:eastAsia="zh-CN"/>
        </w:rPr>
      </w:pPr>
      <w:r>
        <w:rPr>
          <w:rStyle w:val="15"/>
        </w:rPr>
        <w:footnoteRef/>
      </w:r>
      <w:r>
        <w:t xml:space="preserve"> </w:t>
      </w:r>
      <w:r>
        <w:rPr>
          <w:rFonts w:hint="eastAsia"/>
          <w:lang w:eastAsia="zh-CN"/>
        </w:rPr>
        <w:t>依据《</w:t>
      </w:r>
      <w:r>
        <w:rPr>
          <w:rFonts w:hint="eastAsia"/>
          <w:lang w:val="en-US" w:eastAsia="zh-CN"/>
        </w:rPr>
        <w:t>中华人民共和国安全生产法》第一百一十四条：发生生产安全事故，对负有责任的生产经营单位除要求其依法承担相应的赔偿等责任外，由应急管理部门依照下列规定处以罚款：（一）发生一般事故的，处三十万以上一百万以下的罚款；第九十五条：生产经营单位的主要负责人未履行本法规定的安全生产管理职责，导致发生生产安全事故的，由应急管理部门依照下列规定处以罚款：（一）发生一般事故的，处上一年年收入百分之四十的罚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57582E"/>
    <w:rsid w:val="0BD3506A"/>
    <w:rsid w:val="0C1E5A5A"/>
    <w:rsid w:val="0C247FB3"/>
    <w:rsid w:val="0C250632"/>
    <w:rsid w:val="0C9E16B4"/>
    <w:rsid w:val="0CBB2FBF"/>
    <w:rsid w:val="0D1509BB"/>
    <w:rsid w:val="0D94513C"/>
    <w:rsid w:val="0F2F5DBA"/>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1A5DFB"/>
    <w:rsid w:val="1C5A6A30"/>
    <w:rsid w:val="1D017DBC"/>
    <w:rsid w:val="1D2C720D"/>
    <w:rsid w:val="1E851801"/>
    <w:rsid w:val="1FCB0D9C"/>
    <w:rsid w:val="20726850"/>
    <w:rsid w:val="207527E7"/>
    <w:rsid w:val="20B408FC"/>
    <w:rsid w:val="20E73131"/>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A747024"/>
    <w:rsid w:val="2A95366B"/>
    <w:rsid w:val="2AF47CF8"/>
    <w:rsid w:val="2B901594"/>
    <w:rsid w:val="2B903B6F"/>
    <w:rsid w:val="2C736F8D"/>
    <w:rsid w:val="2C8E3A38"/>
    <w:rsid w:val="2CAF59DF"/>
    <w:rsid w:val="2CB07D6D"/>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E31578"/>
    <w:rsid w:val="36E417A4"/>
    <w:rsid w:val="37E06569"/>
    <w:rsid w:val="37F92C63"/>
    <w:rsid w:val="380B2F5E"/>
    <w:rsid w:val="38CE7F83"/>
    <w:rsid w:val="38E30E04"/>
    <w:rsid w:val="39CC7613"/>
    <w:rsid w:val="3A320F84"/>
    <w:rsid w:val="3B5311DC"/>
    <w:rsid w:val="3C553397"/>
    <w:rsid w:val="3CE1046D"/>
    <w:rsid w:val="3D1E42F4"/>
    <w:rsid w:val="3D777269"/>
    <w:rsid w:val="3E406CE8"/>
    <w:rsid w:val="3E687C14"/>
    <w:rsid w:val="3E9E1828"/>
    <w:rsid w:val="3EB469AD"/>
    <w:rsid w:val="3F425704"/>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4A3ABB"/>
    <w:rsid w:val="50A1382E"/>
    <w:rsid w:val="50A37021"/>
    <w:rsid w:val="513B1415"/>
    <w:rsid w:val="52B22E79"/>
    <w:rsid w:val="5323214B"/>
    <w:rsid w:val="53C670E8"/>
    <w:rsid w:val="54501F62"/>
    <w:rsid w:val="54781E89"/>
    <w:rsid w:val="54813B01"/>
    <w:rsid w:val="54BD1AEF"/>
    <w:rsid w:val="55A53AB4"/>
    <w:rsid w:val="56DE4FC7"/>
    <w:rsid w:val="5736560C"/>
    <w:rsid w:val="578D1ADF"/>
    <w:rsid w:val="58B469B6"/>
    <w:rsid w:val="59BF657B"/>
    <w:rsid w:val="59D55722"/>
    <w:rsid w:val="59DA78BA"/>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151102D"/>
    <w:rsid w:val="62CE2F3C"/>
    <w:rsid w:val="632703AA"/>
    <w:rsid w:val="633A61A2"/>
    <w:rsid w:val="63797330"/>
    <w:rsid w:val="64917DD5"/>
    <w:rsid w:val="650D0C52"/>
    <w:rsid w:val="651915AF"/>
    <w:rsid w:val="652D2F21"/>
    <w:rsid w:val="65882BFB"/>
    <w:rsid w:val="65B53F75"/>
    <w:rsid w:val="6618262F"/>
    <w:rsid w:val="665B64F5"/>
    <w:rsid w:val="6725366E"/>
    <w:rsid w:val="68B7544F"/>
    <w:rsid w:val="69215EFE"/>
    <w:rsid w:val="69507888"/>
    <w:rsid w:val="69B43182"/>
    <w:rsid w:val="6B08205B"/>
    <w:rsid w:val="6B597DB6"/>
    <w:rsid w:val="6BE67F84"/>
    <w:rsid w:val="6C4C09B2"/>
    <w:rsid w:val="6C616080"/>
    <w:rsid w:val="6C690BDE"/>
    <w:rsid w:val="6C77084D"/>
    <w:rsid w:val="6CE62B14"/>
    <w:rsid w:val="6D4D392B"/>
    <w:rsid w:val="6D601FCB"/>
    <w:rsid w:val="6DB63697"/>
    <w:rsid w:val="6E253995"/>
    <w:rsid w:val="6E423C11"/>
    <w:rsid w:val="6E581CF7"/>
    <w:rsid w:val="6EFC707C"/>
    <w:rsid w:val="6FCC2CB4"/>
    <w:rsid w:val="6FD47408"/>
    <w:rsid w:val="709838CF"/>
    <w:rsid w:val="71674B79"/>
    <w:rsid w:val="717A53EA"/>
    <w:rsid w:val="73C60C6C"/>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C50238F"/>
    <w:rsid w:val="7C5C4E13"/>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link w:val="12"/>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styleId="3">
    <w:name w:val="Normal Indent"/>
    <w:basedOn w:val="1"/>
    <w:qFormat/>
    <w:uiPriority w:val="0"/>
    <w:pPr>
      <w:ind w:firstLine="420"/>
    </w:pPr>
    <w:rPr>
      <w:rFonts w:ascii="Calibri" w:hAnsi="Calibri"/>
    </w:rPr>
  </w:style>
  <w:style w:type="paragraph" w:styleId="4">
    <w:name w:val="Body Text"/>
    <w:qFormat/>
    <w:uiPriority w:val="0"/>
    <w:pPr>
      <w:spacing w:after="120" w:afterLines="0" w:afterAutospacing="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footnote text"/>
    <w:basedOn w:val="1"/>
    <w:qFormat/>
    <w:uiPriority w:val="0"/>
    <w:pPr>
      <w:snapToGrid w:val="0"/>
      <w:jc w:val="left"/>
    </w:pPr>
    <w:rPr>
      <w:sz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2">
    <w:name w:val=" Char"/>
    <w:link w:val="11"/>
    <w:qFormat/>
    <w:uiPriority w:val="0"/>
    <w:pPr>
      <w:widowControl/>
      <w:adjustRightInd w:val="0"/>
      <w:spacing w:after="160" w:afterLines="0" w:line="240" w:lineRule="exact"/>
      <w:jc w:val="left"/>
    </w:pPr>
    <w:rPr>
      <w:rFonts w:ascii="Calibri" w:hAnsi="Calibri" w:eastAsia="宋体" w:cs="Times New Roman"/>
    </w:rPr>
  </w:style>
  <w:style w:type="character" w:styleId="13">
    <w:name w:val="page number"/>
    <w:basedOn w:val="11"/>
    <w:unhideWhenUsed/>
    <w:qFormat/>
    <w:uiPriority w:val="99"/>
  </w:style>
  <w:style w:type="character" w:styleId="14">
    <w:name w:val="Hyperlink"/>
    <w:basedOn w:val="11"/>
    <w:qFormat/>
    <w:uiPriority w:val="0"/>
    <w:rPr>
      <w:color w:val="0000FF"/>
      <w:u w:val="single"/>
    </w:rPr>
  </w:style>
  <w:style w:type="character" w:styleId="15">
    <w:name w:val="footnote reference"/>
    <w:basedOn w:val="11"/>
    <w:qFormat/>
    <w:uiPriority w:val="0"/>
    <w:rPr>
      <w:vertAlign w:val="superscript"/>
    </w:rPr>
  </w:style>
  <w:style w:type="character" w:customStyle="1" w:styleId="16">
    <w:name w:val="超链接 New"/>
    <w:basedOn w:val="11"/>
    <w:qFormat/>
    <w:uiPriority w:val="0"/>
    <w:rPr>
      <w:rFonts w:ascii="Times New Roman" w:hAnsi="Times New Roman" w:eastAsia="宋体"/>
      <w:color w:val="0000FF"/>
      <w:u w:val="single"/>
    </w:rPr>
  </w:style>
  <w:style w:type="character" w:customStyle="1" w:styleId="17">
    <w:name w:val="fontstyle01"/>
    <w:basedOn w:val="11"/>
    <w:qFormat/>
    <w:uiPriority w:val="0"/>
    <w:rPr>
      <w:rFonts w:ascii="黑体" w:hAnsi="宋体" w:eastAsia="黑体" w:cs="黑体"/>
      <w:color w:val="000000"/>
      <w:sz w:val="42"/>
      <w:szCs w:val="42"/>
    </w:rPr>
  </w:style>
  <w:style w:type="character" w:customStyle="1" w:styleId="18">
    <w:name w:val="页码 New New"/>
    <w:basedOn w:val="11"/>
    <w:qFormat/>
    <w:uiPriority w:val="0"/>
  </w:style>
  <w:style w:type="character" w:customStyle="1" w:styleId="19">
    <w:name w:val="页码 New"/>
    <w:basedOn w:val="11"/>
    <w:qFormat/>
    <w:uiPriority w:val="0"/>
  </w:style>
  <w:style w:type="paragraph" w:customStyle="1" w:styleId="20">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1">
    <w:name w:val="Plain Text"/>
    <w:qFormat/>
    <w:uiPriority w:val="0"/>
    <w:rPr>
      <w:rFonts w:ascii="宋体" w:hAnsi="Courier New" w:eastAsia="宋体" w:cs="Times New Roman"/>
      <w:sz w:val="30"/>
      <w:szCs w:val="21"/>
    </w:rPr>
  </w:style>
  <w:style w:type="paragraph" w:customStyle="1" w:styleId="22">
    <w:name w:val="目录 2 New"/>
    <w:qFormat/>
    <w:uiPriority w:val="0"/>
    <w:pPr>
      <w:ind w:left="420" w:leftChars="200"/>
    </w:pPr>
    <w:rPr>
      <w:rFonts w:ascii="Calibri" w:hAnsi="Calibri" w:eastAsia="宋体" w:cs="Times New Roman"/>
    </w:rPr>
  </w:style>
  <w:style w:type="paragraph" w:customStyle="1" w:styleId="23">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4">
    <w:name w:val="Normal"/>
    <w:qFormat/>
    <w:uiPriority w:val="0"/>
    <w:pPr>
      <w:jc w:val="both"/>
    </w:pPr>
    <w:rPr>
      <w:rFonts w:ascii="Times New Roman" w:hAnsi="Times New Roman" w:eastAsia="宋体" w:cs="Times New Roman"/>
      <w:kern w:val="2"/>
      <w:sz w:val="21"/>
    </w:rPr>
  </w:style>
  <w:style w:type="paragraph" w:customStyle="1" w:styleId="25">
    <w:name w:val="p16"/>
    <w:qFormat/>
    <w:uiPriority w:val="0"/>
    <w:pPr>
      <w:widowControl/>
    </w:pPr>
    <w:rPr>
      <w:rFonts w:ascii="宋体" w:hAnsi="宋体" w:eastAsia="宋体" w:cs="宋体"/>
      <w:kern w:val="0"/>
      <w:szCs w:val="21"/>
    </w:rPr>
  </w:style>
  <w:style w:type="paragraph" w:customStyle="1" w:styleId="26">
    <w:name w:val="p0"/>
    <w:qFormat/>
    <w:uiPriority w:val="0"/>
    <w:pPr>
      <w:widowControl/>
    </w:pPr>
    <w:rPr>
      <w:rFonts w:ascii="Calibri" w:hAnsi="Calibri" w:eastAsia="宋体" w:cs="Times New Roman"/>
      <w:kern w:val="0"/>
      <w:sz w:val="30"/>
      <w:szCs w:val="30"/>
    </w:rPr>
  </w:style>
  <w:style w:type="paragraph" w:customStyle="1" w:styleId="27">
    <w:name w:val="Plain Text1"/>
    <w:qFormat/>
    <w:uiPriority w:val="0"/>
    <w:rPr>
      <w:rFonts w:ascii="宋体" w:hAnsi="Courier New" w:eastAsia="宋体" w:cs="Times New Roman"/>
      <w:szCs w:val="21"/>
    </w:rPr>
  </w:style>
  <w:style w:type="paragraph" w:customStyle="1" w:styleId="28">
    <w:name w:val=" Char Char Char Char"/>
    <w:qFormat/>
    <w:uiPriority w:val="0"/>
    <w:pPr>
      <w:tabs>
        <w:tab w:val="left" w:pos="425"/>
      </w:tabs>
      <w:ind w:left="425" w:hanging="425"/>
    </w:pPr>
    <w:rPr>
      <w:rFonts w:ascii="Calibri" w:hAnsi="Calibri" w:eastAsia="宋体" w:cs="Times New Roman"/>
    </w:rPr>
  </w:style>
  <w:style w:type="paragraph" w:customStyle="1" w:styleId="29">
    <w:name w:val="p0 New"/>
    <w:qFormat/>
    <w:uiPriority w:val="0"/>
    <w:pPr>
      <w:widowControl/>
    </w:pPr>
    <w:rPr>
      <w:rFonts w:ascii="Calibri" w:hAnsi="Calibri" w:eastAsia="宋体" w:cs="Times New Roman"/>
      <w:kern w:val="0"/>
      <w:szCs w:val="21"/>
    </w:rPr>
  </w:style>
  <w:style w:type="paragraph" w:customStyle="1" w:styleId="30">
    <w:name w:val="Normal New New New"/>
    <w:qFormat/>
    <w:uiPriority w:val="0"/>
    <w:pPr>
      <w:jc w:val="both"/>
    </w:pPr>
    <w:rPr>
      <w:rFonts w:ascii="Times New Roman" w:hAnsi="Times New Roman" w:eastAsia="宋体" w:cs="Times New Roman"/>
      <w:kern w:val="2"/>
      <w:sz w:val="21"/>
    </w:rPr>
  </w:style>
  <w:style w:type="paragraph" w:customStyle="1" w:styleId="31">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2">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3">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4">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5">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6">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7">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8">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40">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1">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2">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3">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4">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5">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6">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8">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9">
    <w:name w:val="table of authorities"/>
    <w:basedOn w:val="1"/>
    <w:next w:val="1"/>
    <w:qFormat/>
    <w:uiPriority w:val="0"/>
    <w:pPr>
      <w:ind w:left="420" w:leftChars="200"/>
    </w:pPr>
    <w:rPr>
      <w:rFonts w:ascii="Times New Roman" w:hAnsi="Times New Roman" w:eastAsia="宋体" w:cs="Times New Roman"/>
    </w:rPr>
  </w:style>
  <w:style w:type="paragraph" w:customStyle="1" w:styleId="50">
    <w:name w:val="Normal (Web)"/>
    <w:basedOn w:val="48"/>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1">
    <w:name w:val="_Style 2"/>
    <w:basedOn w:val="52"/>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1</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2026-04-07T12:47:07Z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