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仿宋_GB2312" w:hAnsi="仿宋_GB2312" w:eastAsia="仿宋_GB2312" w:cs="仿宋_GB2312"/>
          <w:color w:val="000000"/>
          <w:spacing w:val="0"/>
          <w:kern w:val="0"/>
          <w:sz w:val="32"/>
          <w:szCs w:val="32"/>
          <w:lang w:val="en-US" w:eastAsia="zh-CN" w:bidi="ar"/>
        </w:rPr>
      </w:pPr>
      <w:r>
        <w:rPr>
          <w:rFonts w:hint="eastAsia" w:ascii="方正小标宋_GBK" w:hAnsi="方正小标宋_GBK" w:eastAsia="方正小标宋_GBK"/>
          <w:sz w:val="44"/>
          <w:lang w:val="en-US" w:eastAsia="zh-CN"/>
        </w:rPr>
        <w:t>清城区“9·30”一般道路交通事故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pStyle w:val="49"/>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202</w:t>
      </w:r>
      <w:r>
        <w:rPr>
          <w:rFonts w:hint="default"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val="en-US" w:eastAsia="zh-CN"/>
        </w:rPr>
        <w:t>年</w:t>
      </w:r>
      <w:r>
        <w:rPr>
          <w:rFonts w:hint="default"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lang w:val="en-US" w:eastAsia="zh-CN"/>
        </w:rPr>
        <w:t>月</w:t>
      </w:r>
      <w:r>
        <w:rPr>
          <w:rFonts w:hint="default"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lang w:val="en-US" w:eastAsia="zh-CN"/>
        </w:rPr>
        <w:t>日</w:t>
      </w:r>
      <w:r>
        <w:rPr>
          <w:rFonts w:hint="default" w:ascii="仿宋_GB2312" w:hAnsi="仿宋_GB2312" w:eastAsia="仿宋_GB2312" w:cs="仿宋_GB2312"/>
          <w:b w:val="0"/>
          <w:bCs w:val="0"/>
          <w:sz w:val="32"/>
          <w:szCs w:val="32"/>
          <w:lang w:val="en-US" w:eastAsia="zh-CN"/>
        </w:rPr>
        <w:t>9</w:t>
      </w:r>
      <w:r>
        <w:rPr>
          <w:rFonts w:hint="eastAsia" w:ascii="仿宋_GB2312" w:hAnsi="仿宋_GB2312" w:eastAsia="仿宋_GB2312" w:cs="仿宋_GB2312"/>
          <w:color w:val="auto"/>
          <w:spacing w:val="20"/>
          <w:sz w:val="32"/>
          <w:szCs w:val="32"/>
          <w:lang w:val="en-US" w:eastAsia="zh-CN"/>
        </w:rPr>
        <w:t>时</w:t>
      </w:r>
      <w:r>
        <w:rPr>
          <w:rFonts w:hint="default" w:ascii="仿宋_GB2312" w:hAnsi="仿宋_GB2312" w:eastAsia="仿宋_GB2312" w:cs="仿宋_GB2312"/>
          <w:color w:val="auto"/>
          <w:spacing w:val="20"/>
          <w:sz w:val="32"/>
          <w:szCs w:val="32"/>
          <w:lang w:val="en-US" w:eastAsia="zh-CN"/>
        </w:rPr>
        <w:t>40</w:t>
      </w:r>
      <w:r>
        <w:rPr>
          <w:rFonts w:hint="eastAsia" w:ascii="仿宋_GB2312" w:hAnsi="仿宋_GB2312" w:eastAsia="仿宋_GB2312" w:cs="仿宋_GB2312"/>
          <w:color w:val="auto"/>
          <w:spacing w:val="20"/>
          <w:sz w:val="32"/>
          <w:szCs w:val="32"/>
          <w:lang w:eastAsia="zh-CN"/>
        </w:rPr>
        <w:t>分，朱</w:t>
      </w:r>
      <w:r>
        <w:rPr>
          <w:rFonts w:hint="eastAsia" w:ascii="仿宋_GB2312" w:hAnsi="仿宋_GB2312" w:eastAsia="仿宋_GB2312" w:cs="仿宋_GB2312"/>
          <w:color w:val="auto"/>
          <w:spacing w:val="20"/>
          <w:sz w:val="32"/>
          <w:szCs w:val="32"/>
          <w:lang w:val="en-US" w:eastAsia="zh-CN"/>
        </w:rPr>
        <w:t>*</w:t>
      </w:r>
      <w:r>
        <w:rPr>
          <w:rFonts w:hint="eastAsia" w:ascii="仿宋_GB2312" w:hAnsi="仿宋_GB2312" w:eastAsia="仿宋_GB2312" w:cs="仿宋_GB2312"/>
          <w:color w:val="auto"/>
          <w:spacing w:val="20"/>
          <w:sz w:val="32"/>
          <w:szCs w:val="32"/>
          <w:lang w:eastAsia="zh-CN"/>
        </w:rPr>
        <w:t>文驾驶粤</w:t>
      </w:r>
      <w:r>
        <w:rPr>
          <w:rFonts w:hint="default" w:ascii="仿宋_GB2312" w:hAnsi="仿宋_GB2312" w:eastAsia="仿宋_GB2312" w:cs="仿宋_GB2312"/>
          <w:color w:val="auto"/>
          <w:spacing w:val="20"/>
          <w:sz w:val="32"/>
          <w:szCs w:val="32"/>
          <w:lang w:val="en-US" w:eastAsia="zh-CN"/>
        </w:rPr>
        <w:t>R80093</w:t>
      </w:r>
      <w:r>
        <w:rPr>
          <w:rFonts w:hint="eastAsia" w:ascii="仿宋_GB2312" w:hAnsi="仿宋_GB2312" w:eastAsia="仿宋_GB2312" w:cs="仿宋_GB2312"/>
          <w:color w:val="auto"/>
          <w:spacing w:val="20"/>
          <w:sz w:val="32"/>
          <w:szCs w:val="32"/>
          <w:lang w:val="en-US" w:eastAsia="zh-CN"/>
        </w:rPr>
        <w:t>号重型半挂牵引车牵引粤</w:t>
      </w:r>
      <w:r>
        <w:rPr>
          <w:rFonts w:hint="default" w:ascii="仿宋_GB2312" w:hAnsi="仿宋_GB2312" w:eastAsia="仿宋_GB2312" w:cs="仿宋_GB2312"/>
          <w:color w:val="auto"/>
          <w:spacing w:val="20"/>
          <w:sz w:val="32"/>
          <w:szCs w:val="32"/>
          <w:lang w:val="en-US" w:eastAsia="zh-CN"/>
        </w:rPr>
        <w:t>RH935</w:t>
      </w:r>
      <w:r>
        <w:rPr>
          <w:rFonts w:hint="eastAsia" w:ascii="仿宋_GB2312" w:hAnsi="仿宋_GB2312" w:eastAsia="仿宋_GB2312" w:cs="仿宋_GB2312"/>
          <w:color w:val="auto"/>
          <w:spacing w:val="20"/>
          <w:sz w:val="32"/>
          <w:szCs w:val="32"/>
          <w:lang w:val="en-US" w:eastAsia="zh-CN"/>
        </w:rPr>
        <w:t>挂号重型自卸半挂车行驶至清城区清远西花坛路段时，与由曾*娣驾驶的二轮轻便摩托车发生碰撞，造成曾*娣死亡、车辆损坏的交通事故。</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区“9·30”一般道路交通事故调查报告》（以下简称《事故调查报告》）。2025年6月29日，《事故调查报告》经清城区人民政府批复同意结案。</w:t>
      </w:r>
    </w:p>
    <w:p>
      <w:pPr>
        <w:pStyle w:val="46"/>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2024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清城区“9·30”一般道路交通事故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pStyle w:val="49"/>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color w:val="auto"/>
          <w:spacing w:val="-2"/>
          <w:sz w:val="32"/>
          <w:szCs w:val="32"/>
          <w:lang w:val="zh-CN" w:eastAsia="zh-CN"/>
        </w:rPr>
      </w:pPr>
      <w:r>
        <w:rPr>
          <w:rFonts w:hint="eastAsia" w:ascii="仿宋_GB2312" w:hAnsi="仿宋_GB2312" w:eastAsia="仿宋_GB2312" w:cs="楷体_GB2312"/>
          <w:b w:val="0"/>
          <w:bCs w:val="0"/>
          <w:color w:val="000000"/>
          <w:sz w:val="32"/>
          <w:szCs w:val="32"/>
          <w:lang w:val="en-US" w:eastAsia="zh-CN"/>
        </w:rPr>
        <w:t>公安机关交通管理部门已按照《中华人民共和国道路交通安全法》对</w:t>
      </w:r>
      <w:r>
        <w:rPr>
          <w:rFonts w:hint="eastAsia" w:ascii="仿宋_GB2312" w:hAnsi="仿宋_GB2312" w:eastAsia="仿宋_GB2312" w:cs="仿宋_GB2312"/>
          <w:color w:val="auto"/>
          <w:spacing w:val="20"/>
          <w:sz w:val="32"/>
          <w:szCs w:val="32"/>
          <w:lang w:eastAsia="zh-CN"/>
        </w:rPr>
        <w:t>粤</w:t>
      </w:r>
      <w:r>
        <w:rPr>
          <w:rFonts w:hint="default" w:ascii="仿宋_GB2312" w:hAnsi="仿宋_GB2312" w:eastAsia="仿宋_GB2312" w:cs="仿宋_GB2312"/>
          <w:color w:val="auto"/>
          <w:spacing w:val="20"/>
          <w:sz w:val="32"/>
          <w:szCs w:val="32"/>
          <w:lang w:val="en-US" w:eastAsia="zh-CN"/>
        </w:rPr>
        <w:t>R80093</w:t>
      </w:r>
      <w:r>
        <w:rPr>
          <w:rFonts w:hint="eastAsia" w:ascii="仿宋_GB2312" w:hAnsi="仿宋_GB2312" w:eastAsia="仿宋_GB2312" w:cs="仿宋_GB2312"/>
          <w:color w:val="auto"/>
          <w:spacing w:val="20"/>
          <w:sz w:val="32"/>
          <w:szCs w:val="32"/>
          <w:lang w:val="en-US" w:eastAsia="zh-CN"/>
        </w:rPr>
        <w:t>号重型半挂牵引车驾驶人朱*文</w:t>
      </w:r>
      <w:r>
        <w:rPr>
          <w:rFonts w:hint="eastAsia" w:ascii="仿宋_GB2312" w:hAnsi="仿宋_GB2312" w:eastAsia="仿宋_GB2312" w:cs="楷体_GB2312"/>
          <w:b w:val="0"/>
          <w:bCs w:val="0"/>
          <w:color w:val="000000"/>
          <w:sz w:val="32"/>
          <w:szCs w:val="32"/>
          <w:lang w:val="en-US" w:eastAsia="zh-CN"/>
        </w:rPr>
        <w:t>进行处理</w:t>
      </w:r>
      <w:r>
        <w:rPr>
          <w:rFonts w:hint="eastAsia" w:ascii="仿宋_GB2312" w:hAnsi="仿宋_GB2312" w:eastAsia="仿宋_GB2312" w:cs="仿宋_GB2312"/>
          <w:color w:val="auto"/>
          <w:spacing w:val="-2"/>
          <w:sz w:val="32"/>
          <w:szCs w:val="32"/>
          <w:lang w:val="zh-CN" w:eastAsia="zh-CN"/>
        </w:rPr>
        <w:t>。</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清城区交通运输局已严格落实“三管三必须”要求，完善货运行业安全生产监管体系，</w:t>
      </w:r>
      <w:bookmarkStart w:id="0" w:name="_GoBack"/>
      <w:bookmarkEnd w:id="0"/>
      <w:r>
        <w:rPr>
          <w:rFonts w:hint="eastAsia" w:ascii="仿宋_GB2312" w:hAnsi="仿宋_GB2312" w:eastAsia="仿宋_GB2312" w:cs="仿宋_GB2312"/>
          <w:color w:val="000000"/>
          <w:sz w:val="32"/>
          <w:szCs w:val="32"/>
          <w:lang w:val="en-US" w:eastAsia="zh-CN"/>
        </w:rPr>
        <w:t>定期开展行业安全形势分析研判，针对事故暴露的问题动态优化监管措施，推动企业落实安全生产标准化建设，提升行业安全管理规范化、精细化水平，防范化解重大安全风险。</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38A29E8"/>
    <w:rsid w:val="03B31E3B"/>
    <w:rsid w:val="040A6E8B"/>
    <w:rsid w:val="0414559F"/>
    <w:rsid w:val="04687406"/>
    <w:rsid w:val="04CF4517"/>
    <w:rsid w:val="04F1566A"/>
    <w:rsid w:val="058B3FCB"/>
    <w:rsid w:val="05EF672D"/>
    <w:rsid w:val="060716AE"/>
    <w:rsid w:val="06AC5A27"/>
    <w:rsid w:val="07151F74"/>
    <w:rsid w:val="07A7571A"/>
    <w:rsid w:val="08693A86"/>
    <w:rsid w:val="0898271B"/>
    <w:rsid w:val="089C50DE"/>
    <w:rsid w:val="08FA49E7"/>
    <w:rsid w:val="093C4D6C"/>
    <w:rsid w:val="097378F0"/>
    <w:rsid w:val="09857D34"/>
    <w:rsid w:val="099B63E6"/>
    <w:rsid w:val="09C15618"/>
    <w:rsid w:val="09E56C49"/>
    <w:rsid w:val="0A220CAC"/>
    <w:rsid w:val="0A57582E"/>
    <w:rsid w:val="0BD3506A"/>
    <w:rsid w:val="0C1E5A5A"/>
    <w:rsid w:val="0C247FB3"/>
    <w:rsid w:val="0C250632"/>
    <w:rsid w:val="0C6A1090"/>
    <w:rsid w:val="0C6A3D51"/>
    <w:rsid w:val="0C9E16B4"/>
    <w:rsid w:val="0CBB2FBF"/>
    <w:rsid w:val="0D1509BB"/>
    <w:rsid w:val="0D3F0E67"/>
    <w:rsid w:val="0D6B44DB"/>
    <w:rsid w:val="0D94513C"/>
    <w:rsid w:val="0DF17D27"/>
    <w:rsid w:val="0F2F5DBA"/>
    <w:rsid w:val="0F460B49"/>
    <w:rsid w:val="0F5620AE"/>
    <w:rsid w:val="0F8527F2"/>
    <w:rsid w:val="0FAA3920"/>
    <w:rsid w:val="0FF600C9"/>
    <w:rsid w:val="10A55C03"/>
    <w:rsid w:val="10AA1F20"/>
    <w:rsid w:val="10C1593E"/>
    <w:rsid w:val="11220A90"/>
    <w:rsid w:val="112552A2"/>
    <w:rsid w:val="125C1725"/>
    <w:rsid w:val="12727F47"/>
    <w:rsid w:val="12DF021B"/>
    <w:rsid w:val="137E4ABC"/>
    <w:rsid w:val="13A8667C"/>
    <w:rsid w:val="14202A8F"/>
    <w:rsid w:val="14267648"/>
    <w:rsid w:val="14530752"/>
    <w:rsid w:val="14E039FB"/>
    <w:rsid w:val="152D0A7E"/>
    <w:rsid w:val="152E636D"/>
    <w:rsid w:val="153F353B"/>
    <w:rsid w:val="15742B2D"/>
    <w:rsid w:val="167B7B46"/>
    <w:rsid w:val="16FB209C"/>
    <w:rsid w:val="1705105C"/>
    <w:rsid w:val="171B4C4A"/>
    <w:rsid w:val="173C1501"/>
    <w:rsid w:val="178E1701"/>
    <w:rsid w:val="17C2337A"/>
    <w:rsid w:val="17CC7BA7"/>
    <w:rsid w:val="17CD13F6"/>
    <w:rsid w:val="17DC63D6"/>
    <w:rsid w:val="18077F41"/>
    <w:rsid w:val="183E156F"/>
    <w:rsid w:val="185B142A"/>
    <w:rsid w:val="18D10980"/>
    <w:rsid w:val="19081597"/>
    <w:rsid w:val="197938A8"/>
    <w:rsid w:val="19FB2A6D"/>
    <w:rsid w:val="1A0F6788"/>
    <w:rsid w:val="1A215AA2"/>
    <w:rsid w:val="1A7F78D8"/>
    <w:rsid w:val="1AE03114"/>
    <w:rsid w:val="1B79005F"/>
    <w:rsid w:val="1BA676C1"/>
    <w:rsid w:val="1BD556C2"/>
    <w:rsid w:val="1BDD5E73"/>
    <w:rsid w:val="1BFE496B"/>
    <w:rsid w:val="1C0F0AE0"/>
    <w:rsid w:val="1C1A5DFB"/>
    <w:rsid w:val="1C5A6A30"/>
    <w:rsid w:val="1CE138DD"/>
    <w:rsid w:val="1D017DBC"/>
    <w:rsid w:val="1D2C720D"/>
    <w:rsid w:val="1D815415"/>
    <w:rsid w:val="1E851801"/>
    <w:rsid w:val="1EF43A76"/>
    <w:rsid w:val="1FCB0D9C"/>
    <w:rsid w:val="20726850"/>
    <w:rsid w:val="207527E7"/>
    <w:rsid w:val="20B408FC"/>
    <w:rsid w:val="20E73131"/>
    <w:rsid w:val="20F61B0A"/>
    <w:rsid w:val="219C088A"/>
    <w:rsid w:val="21EE7A36"/>
    <w:rsid w:val="222A7456"/>
    <w:rsid w:val="224F6C07"/>
    <w:rsid w:val="22505BE0"/>
    <w:rsid w:val="22962299"/>
    <w:rsid w:val="22C37755"/>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EA21241"/>
    <w:rsid w:val="2F024305"/>
    <w:rsid w:val="2FC008DA"/>
    <w:rsid w:val="2FE24C0C"/>
    <w:rsid w:val="2FE24F97"/>
    <w:rsid w:val="2FE97E88"/>
    <w:rsid w:val="2FF509DB"/>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6C3652"/>
    <w:rsid w:val="36E31578"/>
    <w:rsid w:val="36E417A4"/>
    <w:rsid w:val="37E06569"/>
    <w:rsid w:val="37F92C63"/>
    <w:rsid w:val="380B2F5E"/>
    <w:rsid w:val="38CE7F83"/>
    <w:rsid w:val="38E30E04"/>
    <w:rsid w:val="39CC7613"/>
    <w:rsid w:val="3A320F84"/>
    <w:rsid w:val="3B5311DC"/>
    <w:rsid w:val="3B69348C"/>
    <w:rsid w:val="3C553397"/>
    <w:rsid w:val="3CE1046D"/>
    <w:rsid w:val="3D1E42F4"/>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08452E"/>
    <w:rsid w:val="471B75B4"/>
    <w:rsid w:val="47B172DD"/>
    <w:rsid w:val="47C11DE0"/>
    <w:rsid w:val="47D55061"/>
    <w:rsid w:val="47FA4066"/>
    <w:rsid w:val="48531179"/>
    <w:rsid w:val="49BB6119"/>
    <w:rsid w:val="4AAB2748"/>
    <w:rsid w:val="4AC86795"/>
    <w:rsid w:val="4ACD7120"/>
    <w:rsid w:val="4B035798"/>
    <w:rsid w:val="4B4315FD"/>
    <w:rsid w:val="4B9F503C"/>
    <w:rsid w:val="4C4819AA"/>
    <w:rsid w:val="4C483DAF"/>
    <w:rsid w:val="4C81289E"/>
    <w:rsid w:val="4C8E75B9"/>
    <w:rsid w:val="4CE10A3E"/>
    <w:rsid w:val="4D39008F"/>
    <w:rsid w:val="4E11481F"/>
    <w:rsid w:val="4E4C289D"/>
    <w:rsid w:val="4E904943"/>
    <w:rsid w:val="4ED51790"/>
    <w:rsid w:val="4F4D05C3"/>
    <w:rsid w:val="4F9C4280"/>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2F0369"/>
    <w:rsid w:val="628D6EB5"/>
    <w:rsid w:val="62CE2F3C"/>
    <w:rsid w:val="63053256"/>
    <w:rsid w:val="632703AA"/>
    <w:rsid w:val="633A61A2"/>
    <w:rsid w:val="63797330"/>
    <w:rsid w:val="64274681"/>
    <w:rsid w:val="64917DD5"/>
    <w:rsid w:val="650D0C52"/>
    <w:rsid w:val="651915AF"/>
    <w:rsid w:val="652D2F21"/>
    <w:rsid w:val="65882BFB"/>
    <w:rsid w:val="65B53F75"/>
    <w:rsid w:val="6618262F"/>
    <w:rsid w:val="664E2133"/>
    <w:rsid w:val="665B64F5"/>
    <w:rsid w:val="665E03FF"/>
    <w:rsid w:val="6725366E"/>
    <w:rsid w:val="68B7544F"/>
    <w:rsid w:val="69215EFE"/>
    <w:rsid w:val="69507888"/>
    <w:rsid w:val="69B43182"/>
    <w:rsid w:val="69E24E05"/>
    <w:rsid w:val="69E37290"/>
    <w:rsid w:val="6ADE29A3"/>
    <w:rsid w:val="6B08205B"/>
    <w:rsid w:val="6B597DB6"/>
    <w:rsid w:val="6BE67F84"/>
    <w:rsid w:val="6C4C09B2"/>
    <w:rsid w:val="6C616080"/>
    <w:rsid w:val="6C690BDE"/>
    <w:rsid w:val="6C77084D"/>
    <w:rsid w:val="6CE62B14"/>
    <w:rsid w:val="6D4D392B"/>
    <w:rsid w:val="6D601FCB"/>
    <w:rsid w:val="6DB63697"/>
    <w:rsid w:val="6DCD0D52"/>
    <w:rsid w:val="6E253995"/>
    <w:rsid w:val="6E423C11"/>
    <w:rsid w:val="6E581CF7"/>
    <w:rsid w:val="6EFC707C"/>
    <w:rsid w:val="6FBA78DA"/>
    <w:rsid w:val="6FCC2CB4"/>
    <w:rsid w:val="6FD47408"/>
    <w:rsid w:val="709838CF"/>
    <w:rsid w:val="70B9604F"/>
    <w:rsid w:val="71674B79"/>
    <w:rsid w:val="717A53EA"/>
    <w:rsid w:val="732F1A02"/>
    <w:rsid w:val="73C60C6C"/>
    <w:rsid w:val="745D59B4"/>
    <w:rsid w:val="7460797C"/>
    <w:rsid w:val="747B32BE"/>
    <w:rsid w:val="751E27C5"/>
    <w:rsid w:val="75211414"/>
    <w:rsid w:val="753436C0"/>
    <w:rsid w:val="756911DC"/>
    <w:rsid w:val="75C11BEE"/>
    <w:rsid w:val="76CE429E"/>
    <w:rsid w:val="76D84B09"/>
    <w:rsid w:val="774C50EC"/>
    <w:rsid w:val="77586240"/>
    <w:rsid w:val="776B217F"/>
    <w:rsid w:val="77BC7F3B"/>
    <w:rsid w:val="77C34021"/>
    <w:rsid w:val="77E16F82"/>
    <w:rsid w:val="782142FE"/>
    <w:rsid w:val="7837730E"/>
    <w:rsid w:val="78EE0ECF"/>
    <w:rsid w:val="79B23B3A"/>
    <w:rsid w:val="79BB5DC9"/>
    <w:rsid w:val="79C819A3"/>
    <w:rsid w:val="79CD595E"/>
    <w:rsid w:val="7B0A1F3C"/>
    <w:rsid w:val="7B6B280D"/>
    <w:rsid w:val="7B943C09"/>
    <w:rsid w:val="7C50238F"/>
    <w:rsid w:val="7C5C4E13"/>
    <w:rsid w:val="7C88322E"/>
    <w:rsid w:val="7C8E02F0"/>
    <w:rsid w:val="7CD07D2E"/>
    <w:rsid w:val="7CE42473"/>
    <w:rsid w:val="7D037643"/>
    <w:rsid w:val="7D230BB4"/>
    <w:rsid w:val="7D3F7414"/>
    <w:rsid w:val="7D5E727E"/>
    <w:rsid w:val="7D8A324A"/>
    <w:rsid w:val="7DD84E8B"/>
    <w:rsid w:val="7E6D6901"/>
    <w:rsid w:val="7E837086"/>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link w:val="11"/>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qFormat/>
    <w:uiPriority w:val="0"/>
    <w:pPr>
      <w:spacing w:after="120" w:afterLines="0" w:afterAutospacing="0"/>
    </w:pPr>
    <w:rPr>
      <w:rFonts w:ascii="Times New Roman" w:hAnsi="Times New Roman" w:eastAsia="宋体" w:cs="Times New Roman"/>
    </w:rPr>
  </w:style>
  <w:style w:type="paragraph" w:styleId="3">
    <w:name w:val="Normal Indent"/>
    <w:basedOn w:val="1"/>
    <w:qFormat/>
    <w:uiPriority w:val="0"/>
    <w:pPr>
      <w:ind w:firstLine="420"/>
    </w:pPr>
    <w:rPr>
      <w:rFonts w:ascii="Calibri" w:hAnsi="Calibri"/>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footnote text"/>
    <w:basedOn w:val="1"/>
    <w:qFormat/>
    <w:uiPriority w:val="0"/>
    <w:pPr>
      <w:snapToGrid w:val="0"/>
      <w:jc w:val="left"/>
    </w:pPr>
    <w:rPr>
      <w:sz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1">
    <w:name w:val=" Char"/>
    <w:link w:val="10"/>
    <w:qFormat/>
    <w:uiPriority w:val="0"/>
    <w:pPr>
      <w:widowControl/>
      <w:adjustRightInd w:val="0"/>
      <w:spacing w:after="160" w:afterLines="0" w:line="240" w:lineRule="exact"/>
      <w:jc w:val="left"/>
    </w:pPr>
    <w:rPr>
      <w:rFonts w:ascii="Calibri" w:hAnsi="Calibri" w:eastAsia="宋体" w:cs="Times New Roman"/>
    </w:rPr>
  </w:style>
  <w:style w:type="character" w:styleId="12">
    <w:name w:val="page number"/>
    <w:basedOn w:val="10"/>
    <w:unhideWhenUsed/>
    <w:qFormat/>
    <w:uiPriority w:val="99"/>
  </w:style>
  <w:style w:type="character" w:styleId="13">
    <w:name w:val="Hyperlink"/>
    <w:basedOn w:val="10"/>
    <w:qFormat/>
    <w:uiPriority w:val="0"/>
    <w:rPr>
      <w:color w:val="0000FF"/>
      <w:u w:val="single"/>
    </w:rPr>
  </w:style>
  <w:style w:type="character" w:styleId="14">
    <w:name w:val="footnote reference"/>
    <w:basedOn w:val="10"/>
    <w:qFormat/>
    <w:uiPriority w:val="0"/>
    <w:rPr>
      <w:vertAlign w:val="superscript"/>
    </w:rPr>
  </w:style>
  <w:style w:type="character" w:customStyle="1" w:styleId="15">
    <w:name w:val="超链接 New"/>
    <w:basedOn w:val="10"/>
    <w:qFormat/>
    <w:uiPriority w:val="0"/>
    <w:rPr>
      <w:rFonts w:ascii="Times New Roman" w:hAnsi="Times New Roman" w:eastAsia="宋体"/>
      <w:color w:val="0000FF"/>
      <w:u w:val="single"/>
    </w:rPr>
  </w:style>
  <w:style w:type="character" w:customStyle="1" w:styleId="16">
    <w:name w:val="fontstyle01"/>
    <w:basedOn w:val="10"/>
    <w:qFormat/>
    <w:uiPriority w:val="0"/>
    <w:rPr>
      <w:rFonts w:ascii="黑体" w:hAnsi="宋体" w:eastAsia="黑体" w:cs="黑体"/>
      <w:color w:val="000000"/>
      <w:sz w:val="42"/>
      <w:szCs w:val="42"/>
    </w:rPr>
  </w:style>
  <w:style w:type="character" w:customStyle="1" w:styleId="17">
    <w:name w:val="页码 New New"/>
    <w:basedOn w:val="10"/>
    <w:qFormat/>
    <w:uiPriority w:val="0"/>
  </w:style>
  <w:style w:type="character" w:customStyle="1" w:styleId="18">
    <w:name w:val="页码 New"/>
    <w:basedOn w:val="10"/>
    <w:qFormat/>
    <w:uiPriority w:val="0"/>
  </w:style>
  <w:style w:type="paragraph" w:customStyle="1" w:styleId="19">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0">
    <w:name w:val="Plain Text"/>
    <w:qFormat/>
    <w:uiPriority w:val="0"/>
    <w:rPr>
      <w:rFonts w:ascii="宋体" w:hAnsi="Courier New" w:eastAsia="宋体" w:cs="Times New Roman"/>
      <w:sz w:val="30"/>
      <w:szCs w:val="21"/>
    </w:rPr>
  </w:style>
  <w:style w:type="paragraph" w:customStyle="1" w:styleId="21">
    <w:name w:val="目录 2 New"/>
    <w:qFormat/>
    <w:uiPriority w:val="0"/>
    <w:pPr>
      <w:ind w:left="420" w:leftChars="200"/>
    </w:pPr>
    <w:rPr>
      <w:rFonts w:ascii="Calibri" w:hAnsi="Calibri" w:eastAsia="宋体" w:cs="Times New Roman"/>
    </w:rPr>
  </w:style>
  <w:style w:type="paragraph" w:customStyle="1" w:styleId="22">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3">
    <w:name w:val="Normal"/>
    <w:qFormat/>
    <w:uiPriority w:val="0"/>
    <w:pPr>
      <w:jc w:val="both"/>
    </w:pPr>
    <w:rPr>
      <w:rFonts w:ascii="Times New Roman" w:hAnsi="Times New Roman" w:eastAsia="宋体" w:cs="Times New Roman"/>
      <w:kern w:val="2"/>
      <w:sz w:val="21"/>
    </w:rPr>
  </w:style>
  <w:style w:type="paragraph" w:customStyle="1" w:styleId="24">
    <w:name w:val="p16"/>
    <w:qFormat/>
    <w:uiPriority w:val="0"/>
    <w:pPr>
      <w:widowControl/>
    </w:pPr>
    <w:rPr>
      <w:rFonts w:ascii="宋体" w:hAnsi="宋体" w:eastAsia="宋体" w:cs="宋体"/>
      <w:kern w:val="0"/>
      <w:szCs w:val="21"/>
    </w:rPr>
  </w:style>
  <w:style w:type="paragraph" w:customStyle="1" w:styleId="25">
    <w:name w:val="p0"/>
    <w:qFormat/>
    <w:uiPriority w:val="0"/>
    <w:pPr>
      <w:widowControl/>
    </w:pPr>
    <w:rPr>
      <w:rFonts w:ascii="Calibri" w:hAnsi="Calibri" w:eastAsia="宋体" w:cs="Times New Roman"/>
      <w:kern w:val="0"/>
      <w:sz w:val="30"/>
      <w:szCs w:val="30"/>
    </w:rPr>
  </w:style>
  <w:style w:type="paragraph" w:customStyle="1" w:styleId="26">
    <w:name w:val="Plain Text1"/>
    <w:qFormat/>
    <w:uiPriority w:val="0"/>
    <w:rPr>
      <w:rFonts w:ascii="宋体" w:hAnsi="Courier New" w:eastAsia="宋体" w:cs="Times New Roman"/>
      <w:szCs w:val="21"/>
    </w:rPr>
  </w:style>
  <w:style w:type="paragraph" w:customStyle="1" w:styleId="27">
    <w:name w:val=" Char Char Char Char"/>
    <w:qFormat/>
    <w:uiPriority w:val="0"/>
    <w:pPr>
      <w:tabs>
        <w:tab w:val="left" w:pos="425"/>
      </w:tabs>
      <w:ind w:left="425" w:hanging="425"/>
    </w:pPr>
    <w:rPr>
      <w:rFonts w:ascii="Calibri" w:hAnsi="Calibri" w:eastAsia="宋体" w:cs="Times New Roman"/>
    </w:rPr>
  </w:style>
  <w:style w:type="paragraph" w:customStyle="1" w:styleId="28">
    <w:name w:val="p0 New"/>
    <w:qFormat/>
    <w:uiPriority w:val="0"/>
    <w:pPr>
      <w:widowControl/>
    </w:pPr>
    <w:rPr>
      <w:rFonts w:ascii="Calibri" w:hAnsi="Calibri" w:eastAsia="宋体" w:cs="Times New Roman"/>
      <w:kern w:val="0"/>
      <w:szCs w:val="21"/>
    </w:rPr>
  </w:style>
  <w:style w:type="paragraph" w:customStyle="1" w:styleId="29">
    <w:name w:val="Normal New New New"/>
    <w:qFormat/>
    <w:uiPriority w:val="0"/>
    <w:pPr>
      <w:jc w:val="both"/>
    </w:pPr>
    <w:rPr>
      <w:rFonts w:ascii="Times New Roman" w:hAnsi="Times New Roman" w:eastAsia="宋体" w:cs="Times New Roman"/>
      <w:kern w:val="2"/>
      <w:sz w:val="21"/>
    </w:rPr>
  </w:style>
  <w:style w:type="paragraph" w:customStyle="1" w:styleId="30">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1">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2">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3">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4">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5">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6">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7">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8">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0">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1">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2">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3">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4">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5">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7">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8">
    <w:name w:val="table of authorities"/>
    <w:basedOn w:val="1"/>
    <w:next w:val="1"/>
    <w:qFormat/>
    <w:uiPriority w:val="0"/>
    <w:pPr>
      <w:ind w:left="420" w:leftChars="200"/>
    </w:pPr>
    <w:rPr>
      <w:rFonts w:ascii="Times New Roman" w:hAnsi="Times New Roman" w:eastAsia="宋体" w:cs="Times New Roman"/>
    </w:rPr>
  </w:style>
  <w:style w:type="paragraph" w:customStyle="1" w:styleId="49">
    <w:name w:val="Normal (Web)"/>
    <w:basedOn w:val="47"/>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0">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2</Pages>
  <Words>755</Words>
  <Characters>786</Characters>
  <Lines>0</Lines>
  <Paragraphs>0</Paragraphs>
  <TotalTime>0</TotalTime>
  <ScaleCrop>false</ScaleCrop>
  <LinksUpToDate>false</LinksUpToDate>
  <CharactersWithSpaces>786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2026-04-09T01:43:18Z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y fmtid="{D5CDD505-2E9C-101B-9397-08002B2CF9AE}" pid="5" name="KSOTemplateDocerSaveRecord">
    <vt:lpwstr>eyJoZGlkIjoiMmQ1NDMzOWQ4MTIxN2I5YzhhMjdhYzA4NTllYjAyYjQiLCJ1c2VySWQiOiI0MDUwMjYyNDAifQ==</vt:lpwstr>
  </property>
</Properties>
</file>