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清城区“7·31”一般道路交通事故责任追究和整改措施落实情况评估报告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31</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10</w:t>
      </w:r>
      <w:r>
        <w:rPr>
          <w:rFonts w:hint="eastAsia" w:ascii="仿宋_GB2312" w:hAnsi="仿宋_GB2312" w:eastAsia="仿宋_GB2312" w:cs="仿宋_GB2312"/>
          <w:color w:val="auto"/>
          <w:spacing w:val="20"/>
          <w:sz w:val="32"/>
          <w:szCs w:val="32"/>
          <w:lang w:eastAsia="zh-CN"/>
        </w:rPr>
        <w:t>分许，位于清城区</w:t>
      </w:r>
      <w:r>
        <w:rPr>
          <w:rFonts w:hint="default" w:ascii="仿宋_GB2312" w:hAnsi="仿宋_GB2312" w:eastAsia="仿宋_GB2312" w:cs="仿宋_GB2312"/>
          <w:color w:val="auto"/>
          <w:spacing w:val="20"/>
          <w:sz w:val="32"/>
          <w:szCs w:val="32"/>
          <w:lang w:val="en-US" w:eastAsia="zh-CN"/>
        </w:rPr>
        <w:t>G107</w:t>
      </w:r>
      <w:r>
        <w:rPr>
          <w:rFonts w:hint="eastAsia" w:ascii="仿宋_GB2312" w:hAnsi="仿宋_GB2312" w:eastAsia="仿宋_GB2312" w:cs="仿宋_GB2312"/>
          <w:color w:val="auto"/>
          <w:spacing w:val="20"/>
          <w:sz w:val="32"/>
          <w:szCs w:val="32"/>
          <w:lang w:val="en-US" w:eastAsia="zh-CN"/>
        </w:rPr>
        <w:t>线</w:t>
      </w:r>
      <w:r>
        <w:rPr>
          <w:rFonts w:hint="eastAsia" w:ascii="仿宋_GB2312" w:hAnsi="仿宋_GB2312" w:eastAsia="仿宋_GB2312" w:cs="仿宋_GB2312"/>
          <w:color w:val="auto"/>
          <w:spacing w:val="20"/>
          <w:sz w:val="32"/>
          <w:szCs w:val="32"/>
          <w:lang w:eastAsia="zh-CN"/>
        </w:rPr>
        <w:t>的</w:t>
      </w:r>
      <w:r>
        <w:rPr>
          <w:rFonts w:hint="eastAsia" w:ascii="仿宋_GB2312" w:hAnsi="仿宋_GB2312" w:eastAsia="仿宋_GB2312" w:cs="仿宋_GB2312"/>
          <w:color w:val="auto"/>
          <w:spacing w:val="20"/>
          <w:sz w:val="32"/>
          <w:szCs w:val="32"/>
          <w:lang w:val="en-US" w:eastAsia="zh-CN"/>
        </w:rPr>
        <w:t>大燕坑桥路段，赣</w:t>
      </w:r>
      <w:r>
        <w:rPr>
          <w:rFonts w:hint="default" w:ascii="仿宋_GB2312" w:hAnsi="仿宋_GB2312" w:eastAsia="仿宋_GB2312" w:cs="仿宋_GB2312"/>
          <w:color w:val="auto"/>
          <w:spacing w:val="20"/>
          <w:sz w:val="32"/>
          <w:szCs w:val="32"/>
          <w:lang w:val="en-US" w:eastAsia="zh-CN"/>
        </w:rPr>
        <w:t>FA9689</w:t>
      </w:r>
      <w:r>
        <w:rPr>
          <w:rFonts w:hint="eastAsia" w:ascii="仿宋_GB2312" w:hAnsi="仿宋_GB2312" w:eastAsia="仿宋_GB2312" w:cs="仿宋_GB2312"/>
          <w:color w:val="auto"/>
          <w:spacing w:val="20"/>
          <w:sz w:val="32"/>
          <w:szCs w:val="32"/>
          <w:lang w:val="en-US" w:eastAsia="zh-CN"/>
        </w:rPr>
        <w:t>号重型半挂牵引车牵引晋</w:t>
      </w:r>
      <w:r>
        <w:rPr>
          <w:rFonts w:hint="default" w:ascii="仿宋_GB2312" w:hAnsi="仿宋_GB2312" w:eastAsia="仿宋_GB2312" w:cs="仿宋_GB2312"/>
          <w:color w:val="auto"/>
          <w:spacing w:val="20"/>
          <w:sz w:val="32"/>
          <w:szCs w:val="32"/>
          <w:lang w:val="en-US" w:eastAsia="zh-CN"/>
        </w:rPr>
        <w:t>MDF71</w:t>
      </w:r>
      <w:r>
        <w:rPr>
          <w:rFonts w:hint="eastAsia" w:ascii="仿宋_GB2312" w:hAnsi="仿宋_GB2312" w:eastAsia="仿宋_GB2312" w:cs="仿宋_GB2312"/>
          <w:color w:val="auto"/>
          <w:spacing w:val="20"/>
          <w:sz w:val="32"/>
          <w:szCs w:val="32"/>
          <w:lang w:val="en-US" w:eastAsia="zh-CN"/>
        </w:rPr>
        <w:t>挂号重型仓栅式半挂车与清远</w:t>
      </w:r>
      <w:r>
        <w:rPr>
          <w:rFonts w:hint="default" w:ascii="仿宋_GB2312" w:hAnsi="仿宋_GB2312" w:eastAsia="仿宋_GB2312" w:cs="仿宋_GB2312"/>
          <w:color w:val="auto"/>
          <w:spacing w:val="20"/>
          <w:sz w:val="32"/>
          <w:szCs w:val="32"/>
          <w:lang w:val="en-US" w:eastAsia="zh-CN"/>
        </w:rPr>
        <w:t>150140</w:t>
      </w:r>
      <w:r>
        <w:rPr>
          <w:rFonts w:hint="eastAsia" w:ascii="仿宋_GB2312" w:hAnsi="仿宋_GB2312" w:eastAsia="仿宋_GB2312" w:cs="仿宋_GB2312"/>
          <w:color w:val="auto"/>
          <w:spacing w:val="20"/>
          <w:sz w:val="32"/>
          <w:szCs w:val="32"/>
          <w:lang w:val="en-US" w:eastAsia="zh-CN"/>
        </w:rPr>
        <w:t>号二轮电动车发生碰撞，造成电动车驾驶人死亡。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7·31”一般道路交通事故调查报告》（以下简称《事故调查报告》）。2024年2月20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清城区“7·31”一般道路交通事故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赣</w:t>
      </w:r>
      <w:r>
        <w:rPr>
          <w:rFonts w:hint="default" w:ascii="仿宋_GB2312" w:hAnsi="仿宋_GB2312" w:eastAsia="仿宋_GB2312" w:cs="仿宋_GB2312"/>
          <w:color w:val="auto"/>
          <w:spacing w:val="20"/>
          <w:sz w:val="32"/>
          <w:szCs w:val="32"/>
          <w:lang w:val="en-US" w:eastAsia="zh-CN"/>
        </w:rPr>
        <w:t>FA9689</w:t>
      </w:r>
      <w:r>
        <w:rPr>
          <w:rFonts w:hint="eastAsia" w:ascii="仿宋_GB2312" w:hAnsi="仿宋_GB2312" w:eastAsia="仿宋_GB2312" w:cs="仿宋_GB2312"/>
          <w:color w:val="auto"/>
          <w:spacing w:val="20"/>
          <w:sz w:val="32"/>
          <w:szCs w:val="32"/>
          <w:lang w:val="en-US" w:eastAsia="zh-CN"/>
        </w:rPr>
        <w:t>号重型半挂牵引车</w:t>
      </w:r>
      <w:r>
        <w:rPr>
          <w:rFonts w:hint="eastAsia" w:ascii="仿宋_GB2312" w:hAnsi="仿宋_GB2312" w:eastAsia="仿宋_GB2312" w:cs="仿宋_GB2312"/>
          <w:b w:val="0"/>
          <w:bCs w:val="0"/>
          <w:color w:val="000000"/>
          <w:sz w:val="32"/>
          <w:szCs w:val="32"/>
          <w:highlight w:val="none"/>
          <w:lang w:val="en-US" w:eastAsia="zh-CN"/>
        </w:rPr>
        <w:t>驾驶人刘*清，驾驶车辆在右转弯时，未仔细观察车辆左右两侧安全通过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按照有关的法律法规追究其法律责任。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盛利公司是否认真履行安全生产主体责任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江西省抚州市黎川县安委办，江西省抚州市黎川县安委办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盛利公司法定代表人是否依法履行安全生产主要负责人职责，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江西省抚州市黎川县安委办，江西省抚州市黎川县安委办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组织相关职能部门对该法定代表人按照相关法律法规进行调查处理。</w:t>
      </w:r>
    </w:p>
    <w:p>
      <w:pPr>
        <w:pStyle w:val="4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0"/>
          <w:sz w:val="32"/>
          <w:szCs w:val="32"/>
          <w:lang w:val="en-US" w:eastAsia="zh-CN"/>
        </w:rPr>
        <w:t>清远市清城区新城飞驰装卸搬运经营部未对车辆、驾驶人进行有效的安全管理和人员的安全教育培训</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清城区交通运输局</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按照有关法律法规规定对</w:t>
      </w:r>
      <w:r>
        <w:rPr>
          <w:rFonts w:hint="eastAsia" w:ascii="仿宋_GB2312" w:hAnsi="仿宋_GB2312" w:eastAsia="仿宋_GB2312" w:cs="仿宋_GB2312"/>
          <w:color w:val="auto"/>
          <w:spacing w:val="-2"/>
          <w:sz w:val="32"/>
          <w:szCs w:val="32"/>
          <w:lang w:val="en-US" w:eastAsia="zh-CN"/>
        </w:rPr>
        <w:t>此</w:t>
      </w:r>
      <w:r>
        <w:rPr>
          <w:rFonts w:hint="eastAsia" w:ascii="仿宋_GB2312" w:hAnsi="仿宋_GB2312" w:eastAsia="仿宋_GB2312" w:cs="仿宋_GB2312"/>
          <w:color w:val="auto"/>
          <w:spacing w:val="-2"/>
          <w:sz w:val="32"/>
          <w:szCs w:val="32"/>
          <w:lang w:val="zh-CN" w:eastAsia="zh-CN"/>
        </w:rPr>
        <w:t>营业部</w:t>
      </w:r>
      <w:r>
        <w:rPr>
          <w:rFonts w:hint="eastAsia" w:ascii="仿宋_GB2312" w:hAnsi="仿宋_GB2312" w:eastAsia="仿宋_GB2312" w:cs="仿宋_GB2312"/>
          <w:color w:val="auto"/>
          <w:spacing w:val="-2"/>
          <w:sz w:val="32"/>
          <w:szCs w:val="32"/>
          <w:lang w:val="en-US" w:eastAsia="zh-CN"/>
        </w:rPr>
        <w:t>作出</w:t>
      </w:r>
      <w:r>
        <w:rPr>
          <w:rFonts w:hint="eastAsia" w:ascii="仿宋_GB2312" w:hAnsi="仿宋_GB2312" w:eastAsia="仿宋_GB2312" w:cs="仿宋_GB2312"/>
          <w:color w:val="auto"/>
          <w:spacing w:val="-2"/>
          <w:sz w:val="32"/>
          <w:szCs w:val="32"/>
          <w:lang w:val="zh-CN" w:eastAsia="zh-CN"/>
        </w:rPr>
        <w:t>行政处罚</w:t>
      </w:r>
      <w:r>
        <w:rPr>
          <w:rFonts w:hint="eastAsia" w:ascii="仿宋_GB2312" w:hAnsi="仿宋_GB2312" w:eastAsia="仿宋_GB2312" w:cs="仿宋_GB2312"/>
          <w:color w:val="auto"/>
          <w:spacing w:val="-2"/>
          <w:sz w:val="32"/>
          <w:szCs w:val="32"/>
          <w:lang w:val="en-US" w:eastAsia="zh-CN"/>
        </w:rPr>
        <w:t>决定</w:t>
      </w:r>
      <w:bookmarkStart w:id="0" w:name="_GoBack"/>
      <w:bookmarkEnd w:id="0"/>
      <w:r>
        <w:rPr>
          <w:rFonts w:hint="eastAsia" w:ascii="仿宋_GB2312" w:hAnsi="仿宋_GB2312" w:eastAsia="仿宋_GB2312" w:cs="仿宋_GB2312"/>
          <w:color w:val="auto"/>
          <w:spacing w:val="-2"/>
          <w:sz w:val="32"/>
          <w:szCs w:val="32"/>
          <w:lang w:val="zh-CN" w:eastAsia="zh-CN"/>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widowControl/>
        <w:suppressLineNumbers w:val="0"/>
        <w:ind w:firstLine="640" w:firstLineChars="200"/>
        <w:jc w:val="left"/>
      </w:pPr>
      <w:r>
        <w:rPr>
          <w:rFonts w:hint="eastAsia" w:ascii="仿宋_GB2312" w:hAnsi="仿宋_GB2312" w:eastAsia="仿宋_GB2312" w:cs="仿宋_GB2312"/>
          <w:color w:val="000000"/>
          <w:sz w:val="32"/>
          <w:szCs w:val="32"/>
          <w:lang w:val="en-US" w:eastAsia="zh-CN"/>
        </w:rPr>
        <w:t>道路交通运输业户对在运输业户挂靠的运输车辆，严格落实安全生产管理主体责任。同时督促落实对挂靠运输车辆实际使用者，对聘用的驾驶人开展安全培训教育，运输车辆的隐患排查检查工作，确保运输车辆安全运行、驾驶人安全驾驶，杜绝此类道路交通事故的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C008DA"/>
    <w:rsid w:val="2FE24F97"/>
    <w:rsid w:val="2FE97E88"/>
    <w:rsid w:val="2FF509DB"/>
    <w:rsid w:val="30A36B4D"/>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9E1828"/>
    <w:rsid w:val="3EB469AD"/>
    <w:rsid w:val="3F0C6788"/>
    <w:rsid w:val="3F425704"/>
    <w:rsid w:val="403C3322"/>
    <w:rsid w:val="40D03E5C"/>
    <w:rsid w:val="4149213E"/>
    <w:rsid w:val="41FA19ED"/>
    <w:rsid w:val="425C1ECE"/>
    <w:rsid w:val="427371EE"/>
    <w:rsid w:val="42CF5D33"/>
    <w:rsid w:val="42DC6F36"/>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5B64F5"/>
    <w:rsid w:val="6725366E"/>
    <w:rsid w:val="68B7544F"/>
    <w:rsid w:val="69215EFE"/>
    <w:rsid w:val="69507888"/>
    <w:rsid w:val="69B43182"/>
    <w:rsid w:val="6B08205B"/>
    <w:rsid w:val="6B597DB6"/>
    <w:rsid w:val="6BE67F84"/>
    <w:rsid w:val="6C4C09B2"/>
    <w:rsid w:val="6C616080"/>
    <w:rsid w:val="6C690BDE"/>
    <w:rsid w:val="6C77084D"/>
    <w:rsid w:val="6D3A41A8"/>
    <w:rsid w:val="6D4D392B"/>
    <w:rsid w:val="6D601FCB"/>
    <w:rsid w:val="6DB63697"/>
    <w:rsid w:val="6E253995"/>
    <w:rsid w:val="6E423C11"/>
    <w:rsid w:val="6E581CF7"/>
    <w:rsid w:val="6EFC707C"/>
    <w:rsid w:val="6FCC2CB4"/>
    <w:rsid w:val="6FD47408"/>
    <w:rsid w:val="709838CF"/>
    <w:rsid w:val="71674B79"/>
    <w:rsid w:val="717A53EA"/>
    <w:rsid w:val="73C60C6C"/>
    <w:rsid w:val="73DF45D2"/>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2026-04-12T10:42:28Z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