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清城区“7·22”一般道路交通事故责任追究和整改措施落实情况评估报告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22</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6</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22</w:t>
      </w:r>
      <w:r>
        <w:rPr>
          <w:rFonts w:hint="eastAsia" w:ascii="仿宋_GB2312" w:hAnsi="仿宋_GB2312" w:eastAsia="仿宋_GB2312" w:cs="仿宋_GB2312"/>
          <w:color w:val="auto"/>
          <w:spacing w:val="20"/>
          <w:sz w:val="32"/>
          <w:szCs w:val="32"/>
          <w:lang w:eastAsia="zh-CN"/>
        </w:rPr>
        <w:t>分许，位于</w:t>
      </w:r>
      <w:r>
        <w:rPr>
          <w:rFonts w:hint="default" w:ascii="仿宋_GB2312" w:hAnsi="仿宋_GB2312" w:eastAsia="仿宋_GB2312" w:cs="仿宋_GB2312"/>
          <w:color w:val="auto"/>
          <w:spacing w:val="20"/>
          <w:sz w:val="32"/>
          <w:szCs w:val="32"/>
          <w:lang w:val="en-US" w:eastAsia="zh-CN"/>
        </w:rPr>
        <w:t>240</w:t>
      </w:r>
      <w:r>
        <w:rPr>
          <w:rFonts w:hint="eastAsia" w:ascii="仿宋_GB2312" w:hAnsi="仿宋_GB2312" w:eastAsia="仿宋_GB2312" w:cs="仿宋_GB2312"/>
          <w:color w:val="auto"/>
          <w:spacing w:val="20"/>
          <w:sz w:val="32"/>
          <w:szCs w:val="32"/>
          <w:lang w:val="en-US" w:eastAsia="zh-CN"/>
        </w:rPr>
        <w:t>国道清远市</w:t>
      </w:r>
      <w:r>
        <w:rPr>
          <w:rFonts w:hint="eastAsia" w:ascii="仿宋_GB2312" w:hAnsi="仿宋_GB2312" w:eastAsia="仿宋_GB2312" w:cs="仿宋_GB2312"/>
          <w:color w:val="auto"/>
          <w:spacing w:val="20"/>
          <w:sz w:val="32"/>
          <w:szCs w:val="32"/>
          <w:lang w:eastAsia="zh-CN"/>
        </w:rPr>
        <w:t>清城区源潭镇连安村委会</w:t>
      </w:r>
      <w:r>
        <w:rPr>
          <w:rFonts w:hint="eastAsia" w:ascii="仿宋_GB2312" w:hAnsi="仿宋_GB2312" w:eastAsia="仿宋_GB2312" w:cs="仿宋_GB2312"/>
          <w:color w:val="auto"/>
          <w:spacing w:val="20"/>
          <w:sz w:val="32"/>
          <w:szCs w:val="32"/>
          <w:lang w:val="en-US" w:eastAsia="zh-CN"/>
        </w:rPr>
        <w:t>路口路段，赣</w:t>
      </w:r>
      <w:r>
        <w:rPr>
          <w:rFonts w:hint="default" w:ascii="仿宋_GB2312" w:hAnsi="仿宋_GB2312" w:eastAsia="仿宋_GB2312" w:cs="仿宋_GB2312"/>
          <w:color w:val="auto"/>
          <w:spacing w:val="20"/>
          <w:sz w:val="32"/>
          <w:szCs w:val="32"/>
          <w:lang w:val="en-US" w:eastAsia="zh-CN"/>
        </w:rPr>
        <w:t>C3671D</w:t>
      </w:r>
      <w:r>
        <w:rPr>
          <w:rFonts w:hint="eastAsia" w:ascii="仿宋_GB2312" w:hAnsi="仿宋_GB2312" w:eastAsia="仿宋_GB2312" w:cs="仿宋_GB2312"/>
          <w:color w:val="auto"/>
          <w:spacing w:val="20"/>
          <w:sz w:val="32"/>
          <w:szCs w:val="32"/>
          <w:lang w:val="en-US" w:eastAsia="zh-CN"/>
        </w:rPr>
        <w:t>号重型半挂牵引车牵引赣</w:t>
      </w:r>
      <w:r>
        <w:rPr>
          <w:rFonts w:hint="default" w:ascii="仿宋_GB2312" w:hAnsi="仿宋_GB2312" w:eastAsia="仿宋_GB2312" w:cs="仿宋_GB2312"/>
          <w:color w:val="auto"/>
          <w:spacing w:val="20"/>
          <w:sz w:val="32"/>
          <w:szCs w:val="32"/>
          <w:lang w:val="en-US" w:eastAsia="zh-CN"/>
        </w:rPr>
        <w:t>C032C</w:t>
      </w:r>
      <w:r>
        <w:rPr>
          <w:rFonts w:hint="eastAsia" w:ascii="仿宋_GB2312" w:hAnsi="仿宋_GB2312" w:eastAsia="仿宋_GB2312" w:cs="仿宋_GB2312"/>
          <w:color w:val="auto"/>
          <w:spacing w:val="20"/>
          <w:sz w:val="32"/>
          <w:szCs w:val="32"/>
          <w:lang w:val="en-US" w:eastAsia="zh-CN"/>
        </w:rPr>
        <w:t>挂号重型自卸半挂车与一辆无号牌二轮电动车发生碰撞，造成二轮电动车驾驶人死亡、车辆损坏。</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7·22”一般道路交通事故调查报告》（以下简称《事故调查报告》）。2024年2月20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清城区“7·22”一般道路交通事故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72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pacing w:val="20"/>
          <w:sz w:val="32"/>
          <w:szCs w:val="32"/>
          <w:lang w:val="en-US" w:eastAsia="zh-CN"/>
        </w:rPr>
        <w:t>赣</w:t>
      </w:r>
      <w:r>
        <w:rPr>
          <w:rFonts w:hint="default" w:ascii="仿宋_GB2312" w:hAnsi="仿宋_GB2312" w:eastAsia="仿宋_GB2312" w:cs="仿宋_GB2312"/>
          <w:color w:val="auto"/>
          <w:spacing w:val="20"/>
          <w:sz w:val="32"/>
          <w:szCs w:val="32"/>
          <w:lang w:val="en-US" w:eastAsia="zh-CN"/>
        </w:rPr>
        <w:t>C3671D</w:t>
      </w:r>
      <w:r>
        <w:rPr>
          <w:rFonts w:hint="eastAsia" w:ascii="仿宋_GB2312" w:hAnsi="仿宋_GB2312" w:eastAsia="仿宋_GB2312" w:cs="仿宋_GB2312"/>
          <w:color w:val="auto"/>
          <w:spacing w:val="20"/>
          <w:sz w:val="32"/>
          <w:szCs w:val="32"/>
          <w:lang w:val="en-US" w:eastAsia="zh-CN"/>
        </w:rPr>
        <w:t>号重型半挂牵引（赣</w:t>
      </w:r>
      <w:r>
        <w:rPr>
          <w:rFonts w:hint="default" w:ascii="仿宋_GB2312" w:hAnsi="仿宋_GB2312" w:eastAsia="仿宋_GB2312" w:cs="仿宋_GB2312"/>
          <w:color w:val="auto"/>
          <w:spacing w:val="20"/>
          <w:sz w:val="32"/>
          <w:szCs w:val="32"/>
          <w:lang w:val="en-US" w:eastAsia="zh-CN"/>
        </w:rPr>
        <w:t>C032C</w:t>
      </w:r>
      <w:r>
        <w:rPr>
          <w:rFonts w:hint="eastAsia" w:ascii="仿宋_GB2312" w:hAnsi="仿宋_GB2312" w:eastAsia="仿宋_GB2312" w:cs="仿宋_GB2312"/>
          <w:color w:val="auto"/>
          <w:spacing w:val="20"/>
          <w:sz w:val="32"/>
          <w:szCs w:val="32"/>
          <w:lang w:val="en-US" w:eastAsia="zh-CN"/>
        </w:rPr>
        <w:t>挂）</w:t>
      </w:r>
      <w:r>
        <w:rPr>
          <w:rFonts w:hint="eastAsia" w:ascii="仿宋_GB2312" w:hAnsi="仿宋_GB2312" w:eastAsia="仿宋_GB2312" w:cs="仿宋_GB2312"/>
          <w:b w:val="0"/>
          <w:bCs w:val="0"/>
          <w:color w:val="000000"/>
          <w:sz w:val="32"/>
          <w:szCs w:val="32"/>
          <w:highlight w:val="none"/>
          <w:lang w:val="en-US" w:eastAsia="zh-CN"/>
        </w:rPr>
        <w:t>驾驶人邓*添，在通过道路路口掉头时，未仔细观察车辆两侧安全驾驶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对事故发生负有</w:t>
      </w:r>
      <w:r>
        <w:rPr>
          <w:rFonts w:hint="eastAsia" w:ascii="仿宋_GB2312" w:hAnsi="仿宋_GB2312" w:eastAsia="仿宋_GB2312" w:cs="仿宋_GB2312"/>
          <w:color w:val="000000"/>
          <w:sz w:val="32"/>
          <w:szCs w:val="32"/>
          <w:lang w:eastAsia="zh-CN"/>
        </w:rPr>
        <w:t>同等</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。公安机关按照</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有关的法律法规追究其法律责任。</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32"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zh-CN" w:eastAsia="zh-CN"/>
        </w:rPr>
        <w:t>联鑫公司是否认真履行安全生产主体责任</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2024年3月14日清城区安全委员会办公室已将此案移交江</w:t>
      </w:r>
      <w:r>
        <w:rPr>
          <w:rFonts w:hint="eastAsia" w:ascii="仿宋_GB2312" w:hAnsi="仿宋_GB2312" w:eastAsia="仿宋_GB2312" w:cs="仿宋_GB2312"/>
          <w:color w:val="auto"/>
          <w:spacing w:val="-2"/>
          <w:sz w:val="32"/>
          <w:szCs w:val="32"/>
          <w:lang w:val="zh-CN" w:eastAsia="zh-CN"/>
        </w:rPr>
        <w:t>西省樟树市安委办，</w:t>
      </w:r>
      <w:r>
        <w:rPr>
          <w:rFonts w:hint="eastAsia" w:ascii="仿宋_GB2312" w:hAnsi="仿宋_GB2312" w:eastAsia="仿宋_GB2312" w:cs="仿宋_GB2312"/>
          <w:color w:val="auto"/>
          <w:spacing w:val="-2"/>
          <w:sz w:val="32"/>
          <w:szCs w:val="32"/>
          <w:lang w:val="en-US" w:eastAsia="zh-CN"/>
        </w:rPr>
        <w:t>江</w:t>
      </w:r>
      <w:r>
        <w:rPr>
          <w:rFonts w:hint="eastAsia" w:ascii="仿宋_GB2312" w:hAnsi="仿宋_GB2312" w:eastAsia="仿宋_GB2312" w:cs="仿宋_GB2312"/>
          <w:color w:val="auto"/>
          <w:spacing w:val="-2"/>
          <w:sz w:val="32"/>
          <w:szCs w:val="32"/>
          <w:lang w:val="zh-CN" w:eastAsia="zh-CN"/>
        </w:rPr>
        <w:t>西省樟树市安委办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组织相关职能部门对该公司按照相关法律法规进行调查处理。</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32"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pacing w:val="-2"/>
          <w:sz w:val="32"/>
          <w:szCs w:val="32"/>
          <w:lang w:val="en-US" w:eastAsia="zh-CN"/>
        </w:rPr>
        <w:t>联鑫公司法定代表人是否依法履行安全生产主要负责人职责，</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2024年3月14日清城区安全委员会办公室已将此案移交江</w:t>
      </w:r>
      <w:r>
        <w:rPr>
          <w:rFonts w:hint="eastAsia" w:ascii="仿宋_GB2312" w:hAnsi="仿宋_GB2312" w:eastAsia="仿宋_GB2312" w:cs="仿宋_GB2312"/>
          <w:color w:val="auto"/>
          <w:spacing w:val="-2"/>
          <w:sz w:val="32"/>
          <w:szCs w:val="32"/>
          <w:lang w:val="zh-CN" w:eastAsia="zh-CN"/>
        </w:rPr>
        <w:t>西省樟树市安委办，</w:t>
      </w:r>
      <w:r>
        <w:rPr>
          <w:rFonts w:hint="eastAsia" w:ascii="仿宋_GB2312" w:hAnsi="仿宋_GB2312" w:eastAsia="仿宋_GB2312" w:cs="仿宋_GB2312"/>
          <w:color w:val="auto"/>
          <w:spacing w:val="-2"/>
          <w:sz w:val="32"/>
          <w:szCs w:val="32"/>
          <w:lang w:val="en-US" w:eastAsia="zh-CN"/>
        </w:rPr>
        <w:t>江</w:t>
      </w:r>
      <w:r>
        <w:rPr>
          <w:rFonts w:hint="eastAsia" w:ascii="仿宋_GB2312" w:hAnsi="仿宋_GB2312" w:eastAsia="仿宋_GB2312" w:cs="仿宋_GB2312"/>
          <w:color w:val="auto"/>
          <w:spacing w:val="-2"/>
          <w:sz w:val="32"/>
          <w:szCs w:val="32"/>
          <w:lang w:val="zh-CN" w:eastAsia="zh-CN"/>
        </w:rPr>
        <w:t>西省樟树市安委办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组织相关职能部门</w:t>
      </w:r>
      <w:bookmarkStart w:id="0" w:name="_GoBack"/>
      <w:bookmarkEnd w:id="0"/>
      <w:r>
        <w:rPr>
          <w:rFonts w:hint="eastAsia" w:ascii="仿宋_GB2312" w:hAnsi="仿宋_GB2312" w:eastAsia="仿宋_GB2312" w:cs="仿宋_GB2312"/>
          <w:color w:val="auto"/>
          <w:spacing w:val="-2"/>
          <w:sz w:val="32"/>
          <w:szCs w:val="32"/>
          <w:lang w:val="zh-CN" w:eastAsia="zh-CN"/>
        </w:rPr>
        <w:t>对该法定代表人按照相关法律法规进行调查处理。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widowControl/>
        <w:suppressLineNumbers w:val="0"/>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各街镇职能部门已强化对辖区内的道路交通安全教育宣传工作，加强日常对道路检查巡查，严力查处无证驾驶、无牌车辆上路行驶和行人的违规行为，减少辖区内的道路交通事故频发多发。</w:t>
      </w:r>
    </w:p>
    <w:p>
      <w:pPr>
        <w:keepNext w:val="0"/>
        <w:keepLines w:val="0"/>
        <w:widowControl/>
        <w:suppressLineNumbers w:val="0"/>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道路交通运输业户已严格履行安全生产管理主体责任，要加强驾驶人员的安全教育培训，提升安全文明驾驶意识，要落实道路运输车辆隐患排查，杜绝车辆“带病”运输经营，同时要加强实时动态监控工作车辆严禁超限、超载、超速以及疲劳驾驶行为，防范道路交通事故发生。</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57582E"/>
    <w:rsid w:val="0BD3506A"/>
    <w:rsid w:val="0C1E5A5A"/>
    <w:rsid w:val="0C247FB3"/>
    <w:rsid w:val="0C250632"/>
    <w:rsid w:val="0C9E16B4"/>
    <w:rsid w:val="0CBB2FBF"/>
    <w:rsid w:val="0D1509BB"/>
    <w:rsid w:val="0D94513C"/>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FCB0D9C"/>
    <w:rsid w:val="20726850"/>
    <w:rsid w:val="207527E7"/>
    <w:rsid w:val="20B408FC"/>
    <w:rsid w:val="20E73131"/>
    <w:rsid w:val="222A7456"/>
    <w:rsid w:val="224F6C07"/>
    <w:rsid w:val="22505BE0"/>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62171C"/>
    <w:rsid w:val="2FE24F97"/>
    <w:rsid w:val="2FE97E88"/>
    <w:rsid w:val="2FF509DB"/>
    <w:rsid w:val="30A36B4D"/>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4F350B"/>
    <w:rsid w:val="36E31578"/>
    <w:rsid w:val="36E417A4"/>
    <w:rsid w:val="37E06569"/>
    <w:rsid w:val="37F92C63"/>
    <w:rsid w:val="380B2F5E"/>
    <w:rsid w:val="38CE7F83"/>
    <w:rsid w:val="38E30E04"/>
    <w:rsid w:val="39CC7613"/>
    <w:rsid w:val="3A320F84"/>
    <w:rsid w:val="3B5311DC"/>
    <w:rsid w:val="3CE1046D"/>
    <w:rsid w:val="3D777269"/>
    <w:rsid w:val="3E406CE8"/>
    <w:rsid w:val="3E687C14"/>
    <w:rsid w:val="3EB469AD"/>
    <w:rsid w:val="3F425704"/>
    <w:rsid w:val="403C3322"/>
    <w:rsid w:val="40D03E5C"/>
    <w:rsid w:val="4149213E"/>
    <w:rsid w:val="41FA19ED"/>
    <w:rsid w:val="425C1ECE"/>
    <w:rsid w:val="427371EE"/>
    <w:rsid w:val="42CF5D33"/>
    <w:rsid w:val="42DC6F36"/>
    <w:rsid w:val="43D47D05"/>
    <w:rsid w:val="43DE6E89"/>
    <w:rsid w:val="44B36B4F"/>
    <w:rsid w:val="44B56AB7"/>
    <w:rsid w:val="4555785B"/>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23214B"/>
    <w:rsid w:val="53C670E8"/>
    <w:rsid w:val="54501F62"/>
    <w:rsid w:val="54781E89"/>
    <w:rsid w:val="54813B01"/>
    <w:rsid w:val="54BD1AEF"/>
    <w:rsid w:val="55A53AB4"/>
    <w:rsid w:val="56DE4FC7"/>
    <w:rsid w:val="5736560C"/>
    <w:rsid w:val="578D1ADF"/>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151102D"/>
    <w:rsid w:val="62CE2F3C"/>
    <w:rsid w:val="632703AA"/>
    <w:rsid w:val="633A61A2"/>
    <w:rsid w:val="63797330"/>
    <w:rsid w:val="650D0C52"/>
    <w:rsid w:val="651915AF"/>
    <w:rsid w:val="652D2F21"/>
    <w:rsid w:val="65882BFB"/>
    <w:rsid w:val="65B53F75"/>
    <w:rsid w:val="665B64F5"/>
    <w:rsid w:val="6725366E"/>
    <w:rsid w:val="68B7544F"/>
    <w:rsid w:val="69215EFE"/>
    <w:rsid w:val="69507888"/>
    <w:rsid w:val="69B43182"/>
    <w:rsid w:val="69C23F26"/>
    <w:rsid w:val="6B08205B"/>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17A53EA"/>
    <w:rsid w:val="73C60C6C"/>
    <w:rsid w:val="745D59B4"/>
    <w:rsid w:val="7460797C"/>
    <w:rsid w:val="747B32BE"/>
    <w:rsid w:val="751E27C5"/>
    <w:rsid w:val="75211414"/>
    <w:rsid w:val="753436C0"/>
    <w:rsid w:val="75C11BEE"/>
    <w:rsid w:val="76CE429E"/>
    <w:rsid w:val="76D84B09"/>
    <w:rsid w:val="774C50EC"/>
    <w:rsid w:val="776B217F"/>
    <w:rsid w:val="77BC7F3B"/>
    <w:rsid w:val="782142FE"/>
    <w:rsid w:val="7837730E"/>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2026-04-12T10:43:33Z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