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kern w:val="0"/>
          <w:sz w:val="32"/>
          <w:szCs w:val="32"/>
          <w:lang w:val="en-US" w:eastAsia="zh-CN" w:bidi="ar"/>
        </w:rPr>
      </w:pPr>
      <w:r>
        <w:rPr>
          <w:rFonts w:hint="eastAsia" w:ascii="方正小标宋_GBK" w:hAnsi="方正小标宋_GBK" w:eastAsia="方正小标宋_GBK"/>
          <w:sz w:val="44"/>
          <w:lang w:val="en-US" w:eastAsia="zh-CN"/>
        </w:rPr>
        <w:t>清城区“6·13”一般道路交通事故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04</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49</w:t>
      </w:r>
      <w:r>
        <w:rPr>
          <w:rFonts w:hint="eastAsia" w:ascii="仿宋_GB2312" w:hAnsi="仿宋_GB2312" w:eastAsia="仿宋_GB2312" w:cs="仿宋_GB2312"/>
          <w:color w:val="auto"/>
          <w:spacing w:val="20"/>
          <w:sz w:val="32"/>
          <w:szCs w:val="32"/>
          <w:lang w:eastAsia="zh-CN"/>
        </w:rPr>
        <w:t>分许，徐</w:t>
      </w:r>
      <w:r>
        <w:rPr>
          <w:rFonts w:hint="eastAsia" w:ascii="仿宋_GB2312" w:hAnsi="仿宋_GB2312" w:eastAsia="仿宋_GB2312" w:cs="仿宋_GB2312"/>
          <w:color w:val="auto"/>
          <w:spacing w:val="20"/>
          <w:sz w:val="32"/>
          <w:szCs w:val="32"/>
          <w:lang w:val="en-US" w:eastAsia="zh-CN"/>
        </w:rPr>
        <w:t>*</w:t>
      </w:r>
      <w:r>
        <w:rPr>
          <w:rFonts w:hint="eastAsia" w:ascii="仿宋_GB2312" w:hAnsi="仿宋_GB2312" w:eastAsia="仿宋_GB2312" w:cs="仿宋_GB2312"/>
          <w:color w:val="auto"/>
          <w:spacing w:val="20"/>
          <w:sz w:val="32"/>
          <w:szCs w:val="32"/>
          <w:lang w:eastAsia="zh-CN"/>
        </w:rPr>
        <w:t>龙驾驶粤</w:t>
      </w:r>
      <w:r>
        <w:rPr>
          <w:rFonts w:hint="default" w:ascii="仿宋_GB2312" w:hAnsi="仿宋_GB2312" w:eastAsia="仿宋_GB2312" w:cs="仿宋_GB2312"/>
          <w:color w:val="auto"/>
          <w:spacing w:val="20"/>
          <w:sz w:val="32"/>
          <w:szCs w:val="32"/>
          <w:lang w:val="en-US" w:eastAsia="zh-CN"/>
        </w:rPr>
        <w:t>AA21186</w:t>
      </w:r>
      <w:r>
        <w:rPr>
          <w:rFonts w:hint="eastAsia" w:ascii="仿宋_GB2312" w:hAnsi="仿宋_GB2312" w:eastAsia="仿宋_GB2312" w:cs="仿宋_GB2312"/>
          <w:color w:val="auto"/>
          <w:spacing w:val="20"/>
          <w:sz w:val="32"/>
          <w:szCs w:val="32"/>
          <w:lang w:val="en-US" w:eastAsia="zh-CN"/>
        </w:rPr>
        <w:t>号轻型厢式货车行驶至清远市清城区石角灵洲路鑫钢材路段时，与由李*轩驾驶的电动三轮车发生碰撞，造成李*轩死亡，车辆损坏。</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6·13”一般道路交通事故调查报告》（以下简称《事故调查报告》）。2024年12月4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清城区“6·13”一般道路交通事故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color w:val="auto"/>
          <w:spacing w:val="20"/>
          <w:sz w:val="32"/>
          <w:szCs w:val="32"/>
          <w:lang w:eastAsia="zh-CN"/>
        </w:rPr>
        <w:t>粤</w:t>
      </w:r>
      <w:r>
        <w:rPr>
          <w:rFonts w:hint="default" w:ascii="仿宋_GB2312" w:hAnsi="仿宋_GB2312" w:eastAsia="仿宋_GB2312" w:cs="仿宋_GB2312"/>
          <w:color w:val="auto"/>
          <w:spacing w:val="20"/>
          <w:sz w:val="32"/>
          <w:szCs w:val="32"/>
          <w:lang w:val="en-US" w:eastAsia="zh-CN"/>
        </w:rPr>
        <w:t>AA21186</w:t>
      </w:r>
      <w:r>
        <w:rPr>
          <w:rFonts w:hint="eastAsia" w:ascii="仿宋_GB2312" w:hAnsi="仿宋_GB2312" w:eastAsia="仿宋_GB2312" w:cs="仿宋_GB2312"/>
          <w:color w:val="auto"/>
          <w:spacing w:val="20"/>
          <w:sz w:val="32"/>
          <w:szCs w:val="32"/>
          <w:lang w:val="en-US" w:eastAsia="zh-CN"/>
        </w:rPr>
        <w:t>号轻型厢式货车驾驶人徐*龙驾驶车辆未与前车保持安全距离，</w:t>
      </w:r>
      <w:r>
        <w:rPr>
          <w:rFonts w:hint="eastAsia" w:ascii="仿宋_GB2312" w:hAnsi="仿宋_GB2312" w:eastAsia="仿宋_GB2312" w:cs="仿宋_GB2312"/>
          <w:b w:val="0"/>
          <w:bCs w:val="0"/>
          <w:color w:val="000000"/>
          <w:sz w:val="32"/>
          <w:szCs w:val="32"/>
          <w:highlight w:val="none"/>
          <w:lang w:val="en-US" w:eastAsia="zh-CN"/>
        </w:rPr>
        <w:t>未按操作规范安全驾驶，</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主要</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依据相关法律法规追究其法律责任。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（二）</w:t>
      </w:r>
      <w:r>
        <w:rPr>
          <w:rFonts w:hint="eastAsia" w:ascii="仿宋_GB2312" w:hAnsi="仿宋_GB2312" w:eastAsia="仿宋_GB2312" w:cs="仿宋_GB2312"/>
          <w:b w:val="0"/>
          <w:bCs w:val="0"/>
          <w:color w:val="000000"/>
          <w:sz w:val="32"/>
          <w:szCs w:val="32"/>
          <w:lang w:val="en-US" w:eastAsia="zh-CN"/>
        </w:rPr>
        <w:t>易坤公司</w:t>
      </w:r>
      <w:r>
        <w:rPr>
          <w:rFonts w:hint="eastAsia" w:ascii="仿宋_GB2312" w:hAnsi="仿宋_GB2312" w:eastAsia="仿宋_GB2312" w:cs="仿宋_GB2312"/>
          <w:color w:val="auto"/>
          <w:spacing w:val="-2"/>
          <w:sz w:val="32"/>
          <w:szCs w:val="32"/>
          <w:lang w:val="zh-CN" w:eastAsia="zh-CN"/>
        </w:rPr>
        <w:t>是否履行安全生产主体责任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2024年12月17日清城区安全委员会办公室已移交</w:t>
      </w:r>
      <w:r>
        <w:rPr>
          <w:rFonts w:hint="eastAsia" w:ascii="仿宋_GB2312" w:hAnsi="仿宋_GB2312" w:eastAsia="仿宋_GB2312" w:cs="仿宋_GB2312"/>
          <w:color w:val="auto"/>
          <w:spacing w:val="-2"/>
          <w:sz w:val="32"/>
          <w:szCs w:val="32"/>
          <w:lang w:val="zh-CN" w:eastAsia="zh-CN"/>
        </w:rPr>
        <w:t>广州市番禺区安委办，</w:t>
      </w:r>
      <w:r>
        <w:rPr>
          <w:rFonts w:hint="eastAsia" w:ascii="仿宋_GB2312" w:hAnsi="仿宋_GB2312" w:eastAsia="仿宋_GB2312" w:cs="仿宋_GB2312"/>
          <w:color w:val="auto"/>
          <w:spacing w:val="-2"/>
          <w:sz w:val="32"/>
          <w:szCs w:val="32"/>
          <w:lang w:val="en-US" w:eastAsia="zh-CN"/>
        </w:rPr>
        <w:t>由</w:t>
      </w:r>
      <w:r>
        <w:rPr>
          <w:rFonts w:hint="eastAsia" w:ascii="仿宋_GB2312" w:hAnsi="仿宋_GB2312" w:eastAsia="仿宋_GB2312" w:cs="仿宋_GB2312"/>
          <w:color w:val="auto"/>
          <w:spacing w:val="-2"/>
          <w:sz w:val="32"/>
          <w:szCs w:val="32"/>
          <w:lang w:val="zh-CN" w:eastAsia="zh-CN"/>
        </w:rPr>
        <w:t>广州市番禺区安委办组织相关职能部门，对该公司按照有关法律法规进行调查处理。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b w:val="0"/>
          <w:i w:val="0"/>
          <w:snapToGrid/>
          <w:color w:val="auto"/>
          <w:sz w:val="32"/>
          <w:szCs w:val="32"/>
          <w:shd w:val="clear" w:color="auto" w:fill="FFFFFF"/>
          <w:lang w:val="en-US" w:eastAsia="zh-CN"/>
        </w:rPr>
        <w:t>（三）</w:t>
      </w:r>
      <w:r>
        <w:rPr>
          <w:rFonts w:hint="eastAsia" w:ascii="仿宋_GB2312" w:hAnsi="仿宋_GB2312" w:eastAsia="仿宋_GB2312" w:cs="仿宋_GB2312"/>
          <w:color w:val="auto"/>
          <w:sz w:val="32"/>
          <w:szCs w:val="32"/>
          <w:highlight w:val="none"/>
          <w:shd w:val="clear" w:color="auto" w:fill="auto"/>
          <w:lang w:val="en-US" w:eastAsia="zh-CN" w:bidi="ar-SA"/>
        </w:rPr>
        <w:t>易坤公司</w:t>
      </w:r>
      <w:r>
        <w:rPr>
          <w:rFonts w:hint="eastAsia" w:ascii="仿宋_GB2312" w:hAnsi="仿宋_GB2312" w:eastAsia="仿宋_GB2312" w:cs="仿宋_GB2312"/>
          <w:color w:val="auto"/>
          <w:spacing w:val="-2"/>
          <w:sz w:val="32"/>
          <w:szCs w:val="32"/>
          <w:lang w:val="en-US" w:eastAsia="zh-CN"/>
        </w:rPr>
        <w:t>法定代表人是否履行安全生产主要负责人职责，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2024年12月7日清城区安全委员会办公室已移交</w:t>
      </w:r>
      <w:r>
        <w:rPr>
          <w:rFonts w:hint="eastAsia" w:ascii="仿宋_GB2312" w:hAnsi="仿宋_GB2312" w:eastAsia="仿宋_GB2312" w:cs="仿宋_GB2312"/>
          <w:color w:val="auto"/>
          <w:spacing w:val="-2"/>
          <w:sz w:val="32"/>
          <w:szCs w:val="32"/>
          <w:lang w:val="zh-CN" w:eastAsia="zh-CN"/>
        </w:rPr>
        <w:t>广州市番禺区安委办</w:t>
      </w:r>
      <w:bookmarkStart w:id="0" w:name="_GoBack"/>
      <w:bookmarkEnd w:id="0"/>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pacing w:val="-2"/>
          <w:sz w:val="32"/>
          <w:szCs w:val="32"/>
          <w:lang w:val="en-US" w:eastAsia="zh-CN"/>
        </w:rPr>
        <w:t>由</w:t>
      </w:r>
      <w:r>
        <w:rPr>
          <w:rFonts w:hint="eastAsia" w:ascii="仿宋_GB2312" w:hAnsi="仿宋_GB2312" w:eastAsia="仿宋_GB2312" w:cs="仿宋_GB2312"/>
          <w:color w:val="auto"/>
          <w:spacing w:val="-2"/>
          <w:sz w:val="32"/>
          <w:szCs w:val="32"/>
          <w:lang w:val="zh-CN" w:eastAsia="zh-CN"/>
        </w:rPr>
        <w:t>广州市番禺区安委办对公司法定代表人按照有关法律法规进行调查处理。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属地监管职能部门已加强对运输车辆业户检查工作，督促其切实履行安全生产主体责任，建立健全安全生产管理各项制度和操作规程，落实好对运输车辆的日常安全管理，做好从业人员的安全培训教育。</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8A29E8"/>
    <w:rsid w:val="03B31E3B"/>
    <w:rsid w:val="040A6E8B"/>
    <w:rsid w:val="0414559F"/>
    <w:rsid w:val="04687406"/>
    <w:rsid w:val="04CF4517"/>
    <w:rsid w:val="04F1566A"/>
    <w:rsid w:val="058B3FCB"/>
    <w:rsid w:val="05EF672D"/>
    <w:rsid w:val="060716AE"/>
    <w:rsid w:val="06AC5A27"/>
    <w:rsid w:val="07151F74"/>
    <w:rsid w:val="07A7571A"/>
    <w:rsid w:val="08693A86"/>
    <w:rsid w:val="0898271B"/>
    <w:rsid w:val="089C50DE"/>
    <w:rsid w:val="08FA49E7"/>
    <w:rsid w:val="093C4D6C"/>
    <w:rsid w:val="097378F0"/>
    <w:rsid w:val="09857D34"/>
    <w:rsid w:val="09C15618"/>
    <w:rsid w:val="09E56C49"/>
    <w:rsid w:val="0A220CAC"/>
    <w:rsid w:val="0A57582E"/>
    <w:rsid w:val="0B0B230F"/>
    <w:rsid w:val="0BD3506A"/>
    <w:rsid w:val="0C1E5A5A"/>
    <w:rsid w:val="0C247FB3"/>
    <w:rsid w:val="0C250632"/>
    <w:rsid w:val="0C6A1090"/>
    <w:rsid w:val="0C6A3D51"/>
    <w:rsid w:val="0C9E16B4"/>
    <w:rsid w:val="0CBB2FBF"/>
    <w:rsid w:val="0D1509BB"/>
    <w:rsid w:val="0D3F0E67"/>
    <w:rsid w:val="0D6B44D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2DF021B"/>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081597"/>
    <w:rsid w:val="197938A8"/>
    <w:rsid w:val="19FB2A6D"/>
    <w:rsid w:val="1A0F6788"/>
    <w:rsid w:val="1A215AA2"/>
    <w:rsid w:val="1A7F78D8"/>
    <w:rsid w:val="1AE03114"/>
    <w:rsid w:val="1B79005F"/>
    <w:rsid w:val="1BA676C1"/>
    <w:rsid w:val="1BD556C2"/>
    <w:rsid w:val="1BDD5E73"/>
    <w:rsid w:val="1BFE496B"/>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C37755"/>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6EA0902"/>
    <w:rsid w:val="37E06569"/>
    <w:rsid w:val="37F92C63"/>
    <w:rsid w:val="380B2F5E"/>
    <w:rsid w:val="38CE7F83"/>
    <w:rsid w:val="38E30E04"/>
    <w:rsid w:val="39CC7613"/>
    <w:rsid w:val="3A320F84"/>
    <w:rsid w:val="3B5311DC"/>
    <w:rsid w:val="3B69348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4315FD"/>
    <w:rsid w:val="4B9F503C"/>
    <w:rsid w:val="4C4819AA"/>
    <w:rsid w:val="4C483DAF"/>
    <w:rsid w:val="4C81289E"/>
    <w:rsid w:val="4C8E75B9"/>
    <w:rsid w:val="4CE10A3E"/>
    <w:rsid w:val="4D39008F"/>
    <w:rsid w:val="4E11481F"/>
    <w:rsid w:val="4E4C289D"/>
    <w:rsid w:val="4E904943"/>
    <w:rsid w:val="4ED51790"/>
    <w:rsid w:val="4F4D05C3"/>
    <w:rsid w:val="504A3ABB"/>
    <w:rsid w:val="50A1382E"/>
    <w:rsid w:val="50A37021"/>
    <w:rsid w:val="50DB6F9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ADE29A3"/>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3F72AD2"/>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B943C09"/>
    <w:rsid w:val="7C50238F"/>
    <w:rsid w:val="7C5C4E13"/>
    <w:rsid w:val="7C88322E"/>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2026-04-12T09:13:17Z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