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清城区“6·10”一般道路交通事故责任追究和整改措施落实情况评估报告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40</w:t>
      </w:r>
      <w:r>
        <w:rPr>
          <w:rFonts w:hint="eastAsia" w:ascii="仿宋_GB2312" w:hAnsi="仿宋_GB2312" w:eastAsia="仿宋_GB2312" w:cs="仿宋_GB2312"/>
          <w:color w:val="auto"/>
          <w:spacing w:val="20"/>
          <w:sz w:val="32"/>
          <w:szCs w:val="32"/>
          <w:lang w:eastAsia="zh-CN"/>
        </w:rPr>
        <w:t>分许，位于清城区石角镇辖区的</w:t>
      </w:r>
      <w:r>
        <w:rPr>
          <w:rFonts w:hint="default" w:ascii="仿宋_GB2312" w:hAnsi="仿宋_GB2312" w:eastAsia="仿宋_GB2312" w:cs="仿宋_GB2312"/>
          <w:color w:val="auto"/>
          <w:spacing w:val="20"/>
          <w:sz w:val="32"/>
          <w:szCs w:val="32"/>
          <w:lang w:val="en-US" w:eastAsia="zh-CN"/>
        </w:rPr>
        <w:t>240</w:t>
      </w:r>
      <w:r>
        <w:rPr>
          <w:rFonts w:hint="eastAsia" w:ascii="仿宋_GB2312" w:hAnsi="仿宋_GB2312" w:eastAsia="仿宋_GB2312" w:cs="仿宋_GB2312"/>
          <w:color w:val="auto"/>
          <w:spacing w:val="20"/>
          <w:sz w:val="32"/>
          <w:szCs w:val="32"/>
          <w:lang w:val="en-US" w:eastAsia="zh-CN"/>
        </w:rPr>
        <w:t>国道</w:t>
      </w:r>
      <w:r>
        <w:rPr>
          <w:rFonts w:hint="default" w:ascii="仿宋_GB2312" w:hAnsi="仿宋_GB2312" w:eastAsia="仿宋_GB2312" w:cs="仿宋_GB2312"/>
          <w:color w:val="auto"/>
          <w:spacing w:val="20"/>
          <w:sz w:val="32"/>
          <w:szCs w:val="32"/>
          <w:lang w:val="en-US" w:eastAsia="zh-CN"/>
        </w:rPr>
        <w:t>2495KM(</w:t>
      </w:r>
      <w:r>
        <w:rPr>
          <w:rFonts w:hint="eastAsia" w:ascii="仿宋_GB2312" w:hAnsi="仿宋_GB2312" w:eastAsia="仿宋_GB2312" w:cs="仿宋_GB2312"/>
          <w:color w:val="auto"/>
          <w:spacing w:val="20"/>
          <w:sz w:val="32"/>
          <w:szCs w:val="32"/>
          <w:lang w:val="en-US" w:eastAsia="zh-CN"/>
        </w:rPr>
        <w:t>清远市清城区石角镇新基红绿灯</w:t>
      </w:r>
      <w:r>
        <w:rPr>
          <w:rFonts w:hint="default" w:ascii="仿宋_GB2312" w:hAnsi="仿宋_GB2312" w:eastAsia="仿宋_GB2312" w:cs="仿宋_GB2312"/>
          <w:color w:val="auto"/>
          <w:spacing w:val="20"/>
          <w:sz w:val="32"/>
          <w:szCs w:val="32"/>
          <w:lang w:val="en-US" w:eastAsia="zh-CN"/>
        </w:rPr>
        <w:t>)</w:t>
      </w:r>
      <w:r>
        <w:rPr>
          <w:rFonts w:hint="eastAsia" w:ascii="仿宋_GB2312" w:hAnsi="仿宋_GB2312" w:eastAsia="仿宋_GB2312" w:cs="仿宋_GB2312"/>
          <w:color w:val="auto"/>
          <w:spacing w:val="20"/>
          <w:sz w:val="32"/>
          <w:szCs w:val="32"/>
          <w:lang w:val="en-US" w:eastAsia="zh-CN"/>
        </w:rPr>
        <w:t>路段，粤</w:t>
      </w:r>
      <w:r>
        <w:rPr>
          <w:rFonts w:hint="default" w:ascii="仿宋_GB2312" w:hAnsi="仿宋_GB2312" w:eastAsia="仿宋_GB2312" w:cs="仿宋_GB2312"/>
          <w:color w:val="auto"/>
          <w:spacing w:val="20"/>
          <w:sz w:val="32"/>
          <w:szCs w:val="32"/>
          <w:lang w:val="en-US" w:eastAsia="zh-CN"/>
        </w:rPr>
        <w:t>E27350</w:t>
      </w:r>
      <w:r>
        <w:rPr>
          <w:rFonts w:hint="eastAsia" w:ascii="仿宋_GB2312" w:hAnsi="仿宋_GB2312" w:eastAsia="仿宋_GB2312" w:cs="仿宋_GB2312"/>
          <w:color w:val="auto"/>
          <w:spacing w:val="20"/>
          <w:sz w:val="32"/>
          <w:szCs w:val="32"/>
          <w:lang w:val="en-US" w:eastAsia="zh-CN"/>
        </w:rPr>
        <w:t>号中型厢式货车与粤</w:t>
      </w:r>
      <w:r>
        <w:rPr>
          <w:rFonts w:hint="default" w:ascii="仿宋_GB2312" w:hAnsi="仿宋_GB2312" w:eastAsia="仿宋_GB2312" w:cs="仿宋_GB2312"/>
          <w:color w:val="auto"/>
          <w:spacing w:val="20"/>
          <w:sz w:val="32"/>
          <w:szCs w:val="32"/>
          <w:lang w:val="en-US" w:eastAsia="zh-CN"/>
        </w:rPr>
        <w:t>R54423</w:t>
      </w:r>
      <w:r>
        <w:rPr>
          <w:rFonts w:hint="eastAsia" w:ascii="仿宋_GB2312" w:hAnsi="仿宋_GB2312" w:eastAsia="仿宋_GB2312" w:cs="仿宋_GB2312"/>
          <w:color w:val="auto"/>
          <w:spacing w:val="20"/>
          <w:sz w:val="32"/>
          <w:szCs w:val="32"/>
          <w:lang w:val="en-US" w:eastAsia="zh-CN"/>
        </w:rPr>
        <w:t>号重型半挂牵引车牵引桂</w:t>
      </w:r>
      <w:r>
        <w:rPr>
          <w:rFonts w:hint="default" w:ascii="仿宋_GB2312" w:hAnsi="仿宋_GB2312" w:eastAsia="仿宋_GB2312" w:cs="仿宋_GB2312"/>
          <w:color w:val="auto"/>
          <w:spacing w:val="20"/>
          <w:sz w:val="32"/>
          <w:szCs w:val="32"/>
          <w:lang w:val="en-US" w:eastAsia="zh-CN"/>
        </w:rPr>
        <w:t>R1468</w:t>
      </w:r>
      <w:r>
        <w:rPr>
          <w:rFonts w:hint="eastAsia" w:ascii="仿宋_GB2312" w:hAnsi="仿宋_GB2312" w:eastAsia="仿宋_GB2312" w:cs="仿宋_GB2312"/>
          <w:color w:val="auto"/>
          <w:spacing w:val="20"/>
          <w:sz w:val="32"/>
          <w:szCs w:val="32"/>
          <w:lang w:val="en-US" w:eastAsia="zh-CN"/>
        </w:rPr>
        <w:t>挂号重型平板半挂车发生碰撞，造成厢式货车驾驶员死亡。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6·10”一般道路交通事故调查报告》（以下简称《事故调查报告》）。2023年12月8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清城区“6·10”一般道路交通事故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32"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zh-CN" w:eastAsia="zh-CN"/>
        </w:rPr>
        <w:t>西成公司是否认真履行安全生产主体责任</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2023年12月21日清城区安全委员会办公室已将此案移交</w:t>
      </w:r>
      <w:r>
        <w:rPr>
          <w:rFonts w:hint="eastAsia" w:ascii="仿宋_GB2312" w:hAnsi="仿宋_GB2312" w:eastAsia="仿宋_GB2312" w:cs="仿宋_GB2312"/>
          <w:color w:val="auto"/>
          <w:spacing w:val="-2"/>
          <w:sz w:val="32"/>
          <w:szCs w:val="32"/>
          <w:lang w:val="zh-CN" w:eastAsia="zh-CN"/>
        </w:rPr>
        <w:t>佛山市顺德区安委办，佛山市顺德区安委办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组织相关职能部门对该公司按照相关法律法规进行调查处理。</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32"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en-US" w:eastAsia="zh-CN"/>
        </w:rPr>
        <w:t>西成公司法定代表人是否依法履行安全生产管理职责，</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2023年12月21日清城区安全委员会办公室清城区安全委员会办公室已将此案移交</w:t>
      </w:r>
      <w:r>
        <w:rPr>
          <w:rFonts w:hint="eastAsia" w:ascii="仿宋_GB2312" w:hAnsi="仿宋_GB2312" w:eastAsia="仿宋_GB2312" w:cs="仿宋_GB2312"/>
          <w:color w:val="auto"/>
          <w:spacing w:val="-2"/>
          <w:sz w:val="32"/>
          <w:szCs w:val="32"/>
          <w:lang w:val="zh-CN" w:eastAsia="zh-CN"/>
        </w:rPr>
        <w:t>佛山市顺德区安委办，佛山市顺德区安委办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组织相关职能部门</w:t>
      </w:r>
      <w:bookmarkStart w:id="0" w:name="_GoBack"/>
      <w:bookmarkEnd w:id="0"/>
      <w:r>
        <w:rPr>
          <w:rFonts w:hint="eastAsia" w:ascii="仿宋_GB2312" w:hAnsi="仿宋_GB2312" w:eastAsia="仿宋_GB2312" w:cs="仿宋_GB2312"/>
          <w:color w:val="auto"/>
          <w:spacing w:val="-2"/>
          <w:sz w:val="32"/>
          <w:szCs w:val="32"/>
          <w:lang w:val="zh-CN" w:eastAsia="zh-CN"/>
        </w:rPr>
        <w:t>对该法定代表人按照相关法律法规进行调查处理。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道路交通运输业户对发生的事故引以为戒、举一反三，深刻吸取事故教训，严格落实主体，全面落实“一线三排”工作机制，深入开展本行业风险研判、隐患排查、源头治理，推动安全生产措施管控到位、落实到位，加强夜间及深夜跨省过境的道路运输车辆的</w:t>
      </w:r>
      <w:r>
        <w:rPr>
          <w:rFonts w:hint="default"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lang w:val="en-US" w:eastAsia="zh-CN"/>
        </w:rPr>
        <w:t>小时监控管理工作，落实好驾驶人员的安全教育培训，严密防范遏制此类安全生产事故发生。</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0BA4889"/>
    <w:rsid w:val="02C43D92"/>
    <w:rsid w:val="02C8787C"/>
    <w:rsid w:val="034642BD"/>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5A6A30"/>
    <w:rsid w:val="1D017DBC"/>
    <w:rsid w:val="1D2C720D"/>
    <w:rsid w:val="1E851801"/>
    <w:rsid w:val="1FCB0D9C"/>
    <w:rsid w:val="20726850"/>
    <w:rsid w:val="207527E7"/>
    <w:rsid w:val="20B408FC"/>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7B56A4"/>
    <w:rsid w:val="27CB0B26"/>
    <w:rsid w:val="280C1796"/>
    <w:rsid w:val="281D3CF6"/>
    <w:rsid w:val="2884097A"/>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E24F97"/>
    <w:rsid w:val="2FE97E88"/>
    <w:rsid w:val="2FF509DB"/>
    <w:rsid w:val="30A36B4D"/>
    <w:rsid w:val="31144B47"/>
    <w:rsid w:val="31427DEE"/>
    <w:rsid w:val="321002E1"/>
    <w:rsid w:val="32467E21"/>
    <w:rsid w:val="32581AEF"/>
    <w:rsid w:val="32852045"/>
    <w:rsid w:val="32A126C6"/>
    <w:rsid w:val="32B17BF9"/>
    <w:rsid w:val="32C603AA"/>
    <w:rsid w:val="330C0BCE"/>
    <w:rsid w:val="330D052E"/>
    <w:rsid w:val="336A15D9"/>
    <w:rsid w:val="338957A2"/>
    <w:rsid w:val="339E4CAB"/>
    <w:rsid w:val="344B53A4"/>
    <w:rsid w:val="345B0D3D"/>
    <w:rsid w:val="35190499"/>
    <w:rsid w:val="3532062C"/>
    <w:rsid w:val="354F350B"/>
    <w:rsid w:val="36E31578"/>
    <w:rsid w:val="36E417A4"/>
    <w:rsid w:val="37E06569"/>
    <w:rsid w:val="37F92C63"/>
    <w:rsid w:val="380B2F5E"/>
    <w:rsid w:val="38CE7F83"/>
    <w:rsid w:val="38E30E04"/>
    <w:rsid w:val="39CC7613"/>
    <w:rsid w:val="3A320F84"/>
    <w:rsid w:val="3B5311DC"/>
    <w:rsid w:val="3CE1046D"/>
    <w:rsid w:val="3D777269"/>
    <w:rsid w:val="3E406CE8"/>
    <w:rsid w:val="3E687C14"/>
    <w:rsid w:val="3EB469AD"/>
    <w:rsid w:val="3F425704"/>
    <w:rsid w:val="403C3322"/>
    <w:rsid w:val="40D03E5C"/>
    <w:rsid w:val="4149213E"/>
    <w:rsid w:val="41FA19ED"/>
    <w:rsid w:val="425C1ECE"/>
    <w:rsid w:val="427371EE"/>
    <w:rsid w:val="42CF5D33"/>
    <w:rsid w:val="42DC6F36"/>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C670E8"/>
    <w:rsid w:val="54501F62"/>
    <w:rsid w:val="54781E89"/>
    <w:rsid w:val="54813B01"/>
    <w:rsid w:val="54BD1AEF"/>
    <w:rsid w:val="55A53AB4"/>
    <w:rsid w:val="56DE4FC7"/>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A61A2"/>
    <w:rsid w:val="63797330"/>
    <w:rsid w:val="650D0C52"/>
    <w:rsid w:val="651915AF"/>
    <w:rsid w:val="652D2F21"/>
    <w:rsid w:val="65882BFB"/>
    <w:rsid w:val="65B53F75"/>
    <w:rsid w:val="6725366E"/>
    <w:rsid w:val="68B7544F"/>
    <w:rsid w:val="69215EFE"/>
    <w:rsid w:val="69507888"/>
    <w:rsid w:val="69B43182"/>
    <w:rsid w:val="6B08205B"/>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3C60C6C"/>
    <w:rsid w:val="745D59B4"/>
    <w:rsid w:val="7460797C"/>
    <w:rsid w:val="747B32BE"/>
    <w:rsid w:val="751E27C5"/>
    <w:rsid w:val="75211414"/>
    <w:rsid w:val="753436C0"/>
    <w:rsid w:val="75C11BEE"/>
    <w:rsid w:val="76CE429E"/>
    <w:rsid w:val="76D84B09"/>
    <w:rsid w:val="774C50EC"/>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rPr>
  </w:style>
  <w:style w:type="paragraph" w:styleId="3">
    <w:name w:val="Body Text"/>
    <w:qFormat/>
    <w:uiPriority w:val="0"/>
    <w:pPr>
      <w:spacing w:after="120" w:afterLines="0" w:afterAutospacing="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2026-04-12T10:41:12Z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