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清城区“4·26”一般道路交通事故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12</w:t>
      </w:r>
      <w:r>
        <w:rPr>
          <w:rFonts w:hint="eastAsia" w:ascii="仿宋_GB2312" w:hAnsi="仿宋_GB2312" w:eastAsia="仿宋_GB2312" w:cs="仿宋_GB2312"/>
          <w:color w:val="auto"/>
          <w:spacing w:val="20"/>
          <w:sz w:val="32"/>
          <w:szCs w:val="32"/>
          <w:lang w:eastAsia="zh-CN"/>
        </w:rPr>
        <w:t>分，位于清城区龙塘镇</w:t>
      </w:r>
      <w:r>
        <w:rPr>
          <w:rFonts w:hint="default" w:ascii="仿宋_GB2312" w:hAnsi="仿宋_GB2312" w:eastAsia="仿宋_GB2312" w:cs="仿宋_GB2312"/>
          <w:color w:val="auto"/>
          <w:spacing w:val="20"/>
          <w:sz w:val="32"/>
          <w:szCs w:val="32"/>
          <w:lang w:val="en-US" w:eastAsia="zh-CN"/>
        </w:rPr>
        <w:t>X844</w:t>
      </w:r>
      <w:r>
        <w:rPr>
          <w:rFonts w:hint="eastAsia" w:ascii="仿宋_GB2312" w:hAnsi="仿宋_GB2312" w:eastAsia="仿宋_GB2312" w:cs="仿宋_GB2312"/>
          <w:color w:val="auto"/>
          <w:spacing w:val="20"/>
          <w:sz w:val="32"/>
          <w:szCs w:val="32"/>
          <w:lang w:val="en-US" w:eastAsia="zh-CN"/>
        </w:rPr>
        <w:t>线信和驿站停车场路口路段，一辆豫</w:t>
      </w:r>
      <w:r>
        <w:rPr>
          <w:rFonts w:hint="default" w:ascii="仿宋_GB2312" w:hAnsi="仿宋_GB2312" w:eastAsia="仿宋_GB2312" w:cs="仿宋_GB2312"/>
          <w:color w:val="auto"/>
          <w:spacing w:val="20"/>
          <w:sz w:val="32"/>
          <w:szCs w:val="32"/>
          <w:lang w:val="en-US" w:eastAsia="zh-CN"/>
        </w:rPr>
        <w:t>LM8151</w:t>
      </w:r>
      <w:r>
        <w:rPr>
          <w:rFonts w:hint="eastAsia" w:ascii="仿宋_GB2312" w:hAnsi="仿宋_GB2312" w:eastAsia="仿宋_GB2312" w:cs="仿宋_GB2312"/>
          <w:color w:val="auto"/>
          <w:spacing w:val="20"/>
          <w:sz w:val="32"/>
          <w:szCs w:val="32"/>
          <w:lang w:val="en-US" w:eastAsia="zh-CN"/>
        </w:rPr>
        <w:t>号重型半挂牵引车牵引豫</w:t>
      </w:r>
      <w:r>
        <w:rPr>
          <w:rFonts w:hint="default" w:ascii="仿宋_GB2312" w:hAnsi="仿宋_GB2312" w:eastAsia="仿宋_GB2312" w:cs="仿宋_GB2312"/>
          <w:color w:val="auto"/>
          <w:spacing w:val="20"/>
          <w:sz w:val="32"/>
          <w:szCs w:val="32"/>
          <w:lang w:val="en-US" w:eastAsia="zh-CN"/>
        </w:rPr>
        <w:t>L2622</w:t>
      </w:r>
      <w:r>
        <w:rPr>
          <w:rFonts w:hint="eastAsia" w:ascii="仿宋_GB2312" w:hAnsi="仿宋_GB2312" w:eastAsia="仿宋_GB2312" w:cs="仿宋_GB2312"/>
          <w:color w:val="auto"/>
          <w:spacing w:val="20"/>
          <w:sz w:val="32"/>
          <w:szCs w:val="32"/>
          <w:lang w:val="en-US" w:eastAsia="zh-CN"/>
        </w:rPr>
        <w:t>挂号重型仓栅式半挂车与一辆粤</w:t>
      </w:r>
      <w:r>
        <w:rPr>
          <w:rFonts w:hint="default" w:ascii="仿宋_GB2312" w:hAnsi="仿宋_GB2312" w:eastAsia="仿宋_GB2312" w:cs="仿宋_GB2312"/>
          <w:color w:val="auto"/>
          <w:spacing w:val="20"/>
          <w:sz w:val="32"/>
          <w:szCs w:val="32"/>
          <w:lang w:val="en-US" w:eastAsia="zh-CN"/>
        </w:rPr>
        <w:t>RHV483</w:t>
      </w:r>
      <w:r>
        <w:rPr>
          <w:rFonts w:hint="eastAsia" w:ascii="仿宋_GB2312" w:hAnsi="仿宋_GB2312" w:eastAsia="仿宋_GB2312" w:cs="仿宋_GB2312"/>
          <w:color w:val="auto"/>
          <w:spacing w:val="20"/>
          <w:sz w:val="32"/>
          <w:szCs w:val="32"/>
          <w:lang w:val="en-US" w:eastAsia="zh-CN"/>
        </w:rPr>
        <w:t>号普通二轮摩托车发生碰撞，造成摩托车驾驶人死亡，车辆损坏。</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4·26”一般道路交通事故调查报告》（以下简称《事故调查报告》）。2024年12月5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清城区“4·26”一般道路交通事故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color w:val="auto"/>
          <w:spacing w:val="20"/>
          <w:sz w:val="32"/>
          <w:szCs w:val="32"/>
          <w:lang w:val="en-US" w:eastAsia="zh-CN"/>
        </w:rPr>
        <w:t>豫</w:t>
      </w:r>
      <w:r>
        <w:rPr>
          <w:rFonts w:hint="default" w:ascii="仿宋_GB2312" w:hAnsi="仿宋_GB2312" w:eastAsia="仿宋_GB2312" w:cs="仿宋_GB2312"/>
          <w:color w:val="auto"/>
          <w:spacing w:val="20"/>
          <w:sz w:val="32"/>
          <w:szCs w:val="32"/>
          <w:lang w:val="en-US" w:eastAsia="zh-CN"/>
        </w:rPr>
        <w:t>LM8151</w:t>
      </w:r>
      <w:r>
        <w:rPr>
          <w:rFonts w:hint="eastAsia" w:ascii="仿宋_GB2312" w:hAnsi="仿宋_GB2312" w:eastAsia="仿宋_GB2312" w:cs="仿宋_GB2312"/>
          <w:color w:val="auto"/>
          <w:spacing w:val="20"/>
          <w:sz w:val="32"/>
          <w:szCs w:val="32"/>
          <w:lang w:val="en-US" w:eastAsia="zh-CN"/>
        </w:rPr>
        <w:t>号重型半挂牵引车（豫</w:t>
      </w:r>
      <w:r>
        <w:rPr>
          <w:rFonts w:hint="default" w:ascii="仿宋_GB2312" w:hAnsi="仿宋_GB2312" w:eastAsia="仿宋_GB2312" w:cs="仿宋_GB2312"/>
          <w:color w:val="auto"/>
          <w:spacing w:val="20"/>
          <w:sz w:val="32"/>
          <w:szCs w:val="32"/>
          <w:lang w:val="en-US" w:eastAsia="zh-CN"/>
        </w:rPr>
        <w:t>L2622</w:t>
      </w:r>
      <w:r>
        <w:rPr>
          <w:rFonts w:hint="eastAsia" w:ascii="仿宋_GB2312" w:hAnsi="仿宋_GB2312" w:eastAsia="仿宋_GB2312" w:cs="仿宋_GB2312"/>
          <w:color w:val="auto"/>
          <w:spacing w:val="20"/>
          <w:sz w:val="32"/>
          <w:szCs w:val="32"/>
          <w:lang w:val="en-US" w:eastAsia="zh-CN"/>
        </w:rPr>
        <w:t>号挂）驾驶人王*杰驾驶车辆，</w:t>
      </w:r>
      <w:r>
        <w:rPr>
          <w:rFonts w:hint="eastAsia" w:ascii="仿宋_GB2312" w:hAnsi="仿宋_GB2312" w:eastAsia="仿宋_GB2312" w:cs="仿宋_GB2312"/>
          <w:b w:val="0"/>
          <w:bCs w:val="0"/>
          <w:color w:val="000000"/>
          <w:sz w:val="32"/>
          <w:szCs w:val="32"/>
          <w:highlight w:val="none"/>
          <w:lang w:val="en-US" w:eastAsia="zh-CN"/>
        </w:rPr>
        <w:t>未与前车保持安全距离，</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追究其法律责任。</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color w:val="auto"/>
          <w:sz w:val="32"/>
          <w:szCs w:val="32"/>
          <w:highlight w:val="none"/>
          <w:shd w:val="clear" w:color="auto" w:fill="auto"/>
          <w:lang w:val="en-US" w:eastAsia="zh-CN" w:bidi="ar-SA"/>
        </w:rPr>
        <w:t>（二）速通公司</w:t>
      </w:r>
      <w:r>
        <w:rPr>
          <w:rFonts w:hint="eastAsia" w:ascii="仿宋_GB2312" w:hAnsi="仿宋_GB2312" w:eastAsia="仿宋_GB2312" w:cs="仿宋_GB2312"/>
          <w:color w:val="auto"/>
          <w:spacing w:val="-2"/>
          <w:sz w:val="32"/>
          <w:szCs w:val="32"/>
          <w:lang w:val="zh-CN" w:eastAsia="zh-CN"/>
        </w:rPr>
        <w:t>是否履行安全生产主体责任</w:t>
      </w:r>
      <w:r>
        <w:rPr>
          <w:rFonts w:hint="eastAsia" w:ascii="仿宋_GB2312" w:hAnsi="仿宋_GB2312" w:eastAsia="仿宋_GB2312" w:cs="仿宋_GB2312"/>
          <w:color w:val="auto"/>
          <w:spacing w:val="-2"/>
          <w:sz w:val="32"/>
          <w:szCs w:val="32"/>
          <w:lang w:val="en-US" w:eastAsia="zh-CN"/>
        </w:rPr>
        <w:t>，</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2024年12月17日清城区安全委员会办公室已将此案移交</w:t>
      </w:r>
      <w:r>
        <w:rPr>
          <w:rFonts w:hint="eastAsia" w:ascii="仿宋_GB2312" w:hAnsi="仿宋_GB2312" w:eastAsia="仿宋_GB2312" w:cs="仿宋_GB2312"/>
          <w:color w:val="auto"/>
          <w:spacing w:val="-2"/>
          <w:sz w:val="32"/>
          <w:szCs w:val="32"/>
          <w:lang w:val="zh-CN" w:eastAsia="zh-CN"/>
        </w:rPr>
        <w:t>河南省漯河市安委办，河南省漯河市安委办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组织相关职能部门对该公司按照有关法律法规进行调查处理。</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仿宋_GB2312"/>
          <w:b w:val="0"/>
          <w:i w:val="0"/>
          <w:snapToGrid/>
          <w:color w:val="auto"/>
          <w:sz w:val="32"/>
          <w:szCs w:val="32"/>
          <w:shd w:val="clear" w:color="auto" w:fill="FFFFFF"/>
          <w:lang w:val="en-US" w:eastAsia="zh-CN"/>
        </w:rPr>
        <w:t>（三）</w:t>
      </w:r>
      <w:r>
        <w:rPr>
          <w:rFonts w:hint="eastAsia" w:ascii="仿宋_GB2312" w:hAnsi="仿宋_GB2312" w:eastAsia="仿宋_GB2312" w:cs="仿宋_GB2312"/>
          <w:color w:val="auto"/>
          <w:sz w:val="32"/>
          <w:szCs w:val="32"/>
          <w:highlight w:val="none"/>
          <w:shd w:val="clear" w:color="auto" w:fill="auto"/>
          <w:lang w:val="en-US" w:eastAsia="zh-CN" w:bidi="ar-SA"/>
        </w:rPr>
        <w:t>速通公司</w:t>
      </w:r>
      <w:r>
        <w:rPr>
          <w:rFonts w:hint="eastAsia" w:ascii="仿宋_GB2312" w:hAnsi="仿宋_GB2312" w:eastAsia="仿宋_GB2312" w:cs="仿宋_GB2312"/>
          <w:color w:val="auto"/>
          <w:spacing w:val="-2"/>
          <w:sz w:val="32"/>
          <w:szCs w:val="32"/>
          <w:lang w:val="en-US" w:eastAsia="zh-CN"/>
        </w:rPr>
        <w:t>法定代表人是否履行安全生产主要负责人职责，</w:t>
      </w:r>
      <w:r>
        <w:rPr>
          <w:rFonts w:hint="eastAsia" w:ascii="仿宋_GB2312" w:hAnsi="仿宋_GB2312" w:eastAsia="仿宋_GB2312" w:cs="仿宋_GB2312"/>
          <w:color w:val="auto"/>
          <w:spacing w:val="-2"/>
          <w:sz w:val="32"/>
          <w:szCs w:val="32"/>
          <w:lang w:val="zh-CN" w:eastAsia="zh-CN"/>
        </w:rPr>
        <w:t>对事故负有责任。</w:t>
      </w:r>
      <w:r>
        <w:rPr>
          <w:rFonts w:hint="eastAsia" w:ascii="仿宋_GB2312" w:hAnsi="仿宋_GB2312" w:eastAsia="仿宋_GB2312" w:cs="仿宋_GB2312"/>
          <w:color w:val="auto"/>
          <w:spacing w:val="-2"/>
          <w:sz w:val="32"/>
          <w:szCs w:val="32"/>
          <w:lang w:val="en-US" w:eastAsia="zh-CN"/>
        </w:rPr>
        <w:t>2024年12月17日清城区安全委员会办公室已将此案移交</w:t>
      </w:r>
      <w:r>
        <w:rPr>
          <w:rFonts w:hint="eastAsia" w:ascii="仿宋_GB2312" w:hAnsi="仿宋_GB2312" w:eastAsia="仿宋_GB2312" w:cs="仿宋_GB2312"/>
          <w:color w:val="auto"/>
          <w:spacing w:val="-2"/>
          <w:sz w:val="32"/>
          <w:szCs w:val="32"/>
          <w:lang w:val="zh-CN" w:eastAsia="zh-CN"/>
        </w:rPr>
        <w:t>河南省漯河市安委办，河南省漯河市安委办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w:t>
      </w:r>
      <w:bookmarkStart w:id="0" w:name="_GoBack"/>
      <w:bookmarkEnd w:id="0"/>
      <w:r>
        <w:rPr>
          <w:rFonts w:hint="eastAsia" w:ascii="仿宋_GB2312" w:hAnsi="仿宋_GB2312" w:eastAsia="仿宋_GB2312" w:cs="仿宋_GB2312"/>
          <w:color w:val="auto"/>
          <w:spacing w:val="-2"/>
          <w:sz w:val="32"/>
          <w:szCs w:val="32"/>
          <w:lang w:val="zh-CN" w:eastAsia="zh-CN"/>
        </w:rPr>
        <w:t>对该法定代表人按照有关法律法规进行调查处理。</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交通管理职能部已加强运输业户的监督管理工作，督处企业严格履行安全生产职责，落实全员安全生产责任制，加强全员的安全教育培训，提高全员的安全责任和安全意识。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color w:val="000000"/>
          <w:sz w:val="32"/>
          <w:szCs w:val="32"/>
          <w:lang w:val="en-US" w:eastAsia="zh-CN"/>
        </w:rPr>
        <w:t>道路交通运输业户已切实履行安全生产主体责任，严格落实对运输车辆动态实时监控，对运输车辆的驾驶人的不安全驾驶行为及时发现立即制止，加强对运输车辆的驾驶人员安全教育培训，做到规范操作、安全驾驶，杜绝此类违规行为导致的交通事故发生。</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B31E3B"/>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6A1090"/>
    <w:rsid w:val="0C6A3D51"/>
    <w:rsid w:val="0C9E16B4"/>
    <w:rsid w:val="0CBB2FBF"/>
    <w:rsid w:val="0D1509BB"/>
    <w:rsid w:val="0D6B44D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3E642E4"/>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BFE496B"/>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A8266A"/>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B943C09"/>
    <w:rsid w:val="7C50238F"/>
    <w:rsid w:val="7C5C4E13"/>
    <w:rsid w:val="7C88322E"/>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2026-04-10T07:27:00Z</cp:lastPrinted>
  <dcterms:modified xsi:type="dcterms:W3CDTF">2026-04-12T10:44:23Z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