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清城区“1·24”一般道路交通事故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2024年1月24日15时22分许，位于清城区飞来南路与清沙大道路口路段，一辆粤R50832号重型特殊结构货车与一名推行自行车的路人发生碰撞，造成推行自行车路人死亡。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24”一般道路交通事故调查报告》（以下简称《事故调查报告》）。2024年9月18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清城区“1·24”一般道路交通事故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楷体_GB2312"/>
          <w:b w:val="0"/>
          <w:bCs w:val="0"/>
          <w:color w:val="000000"/>
          <w:sz w:val="32"/>
          <w:szCs w:val="32"/>
          <w:lang w:val="en-US"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公安机关交通管理部门已按照《中华人民共和国道路交通安全法》等有关规定对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R50832</w:t>
      </w:r>
      <w:r>
        <w:rPr>
          <w:rFonts w:hint="eastAsia" w:ascii="仿宋_GB2312" w:hAnsi="仿宋_GB2312" w:eastAsia="仿宋_GB2312" w:cs="仿宋_GB2312"/>
          <w:color w:val="auto"/>
          <w:spacing w:val="20"/>
          <w:sz w:val="32"/>
          <w:szCs w:val="32"/>
          <w:lang w:val="en-US" w:eastAsia="zh-CN"/>
        </w:rPr>
        <w:t>号重型特殊结构货车驾驶人王*考</w:t>
      </w:r>
      <w:r>
        <w:rPr>
          <w:rFonts w:hint="eastAsia" w:ascii="仿宋_GB2312" w:hAnsi="仿宋_GB2312" w:eastAsia="仿宋_GB2312" w:cs="楷体_GB2312"/>
          <w:b w:val="0"/>
          <w:bCs w:val="0"/>
          <w:color w:val="000000"/>
          <w:sz w:val="32"/>
          <w:szCs w:val="32"/>
          <w:lang w:val="en-US" w:eastAsia="zh-CN"/>
        </w:rPr>
        <w:t>进行处理</w:t>
      </w:r>
      <w:bookmarkStart w:id="0" w:name="_GoBack"/>
      <w:bookmarkEnd w:id="0"/>
      <w:r>
        <w:rPr>
          <w:rFonts w:hint="eastAsia" w:ascii="仿宋_GB2312" w:hAnsi="仿宋_GB2312" w:eastAsia="仿宋_GB2312" w:cs="楷体_GB2312"/>
          <w:b w:val="0"/>
          <w:bCs w:val="0"/>
          <w:color w:val="000000"/>
          <w:sz w:val="32"/>
          <w:szCs w:val="32"/>
          <w:lang w:val="en-US"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楷体_GB2312"/>
          <w:b w:val="0"/>
          <w:bCs w:val="0"/>
          <w:color w:val="000000"/>
          <w:kern w:val="0"/>
          <w:sz w:val="32"/>
          <w:szCs w:val="32"/>
          <w:lang w:val="en-US" w:eastAsia="zh-CN" w:bidi="ar-SA"/>
        </w:rPr>
      </w:pPr>
      <w:r>
        <w:rPr>
          <w:rFonts w:hint="eastAsia" w:ascii="仿宋_GB2312" w:hAnsi="仿宋_GB2312" w:eastAsia="仿宋_GB2312" w:cs="楷体_GB2312"/>
          <w:b w:val="0"/>
          <w:bCs w:val="0"/>
          <w:color w:val="000000"/>
          <w:kern w:val="0"/>
          <w:sz w:val="32"/>
          <w:szCs w:val="32"/>
          <w:lang w:val="en-US" w:eastAsia="zh-CN" w:bidi="ar-SA"/>
        </w:rPr>
        <w:t>清远市公安局清城分局已围绕货车、非机动车等重点车辆通行秩序，常态化开展专项整治行动，重点查处货车超载、超速、不礼让行人，非机动车逆行、闯红灯等违法行为。结合事故特点，在事故高发时段、路段增派警力，强化巡逻管控与劝导执法。</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楷体_GB2312"/>
          <w:b w:val="0"/>
          <w:bCs w:val="0"/>
          <w:color w:val="000000"/>
          <w:kern w:val="0"/>
          <w:sz w:val="32"/>
          <w:szCs w:val="32"/>
          <w:lang w:val="en-US" w:eastAsia="zh-CN" w:bidi="ar-SA"/>
        </w:rPr>
      </w:pPr>
      <w:r>
        <w:rPr>
          <w:rFonts w:hint="eastAsia" w:ascii="仿宋_GB2312" w:hAnsi="仿宋_GB2312" w:eastAsia="仿宋_GB2312" w:cs="楷体_GB2312"/>
          <w:b w:val="0"/>
          <w:bCs w:val="0"/>
          <w:color w:val="000000"/>
          <w:kern w:val="0"/>
          <w:sz w:val="32"/>
          <w:szCs w:val="32"/>
          <w:lang w:val="en-US" w:eastAsia="zh-CN" w:bidi="ar-SA"/>
        </w:rPr>
        <w:t>清城区交通运输局已督促辖区货运企业落实“一线三排”工作机制（排风险、排隐患、排事故）及“三个必须”要求（必须开展警示教育、必须排查隐患、必须报告整改情况），指导企业完善安全生产管理制度，建立驾驶人安全培训、车辆日常维护等长效机制，从制度层面防范类似事故重复发生。</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5A6619"/>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6F17D4"/>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5F03F91"/>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735</Words>
  <Characters>763</Characters>
  <Lines>0</Lines>
  <Paragraphs>0</Paragraphs>
  <TotalTime>0</TotalTime>
  <ScaleCrop>false</ScaleCrop>
  <LinksUpToDate>false</LinksUpToDate>
  <CharactersWithSpaces>764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2026-04-09T01:15:10Z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