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清城横荷御海蓝湾豪庭“12·25”一般车辆伤害事故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2023年12月25日9时25分许，位于清城区小市北江四路御海蓝湾豪庭在建工地内，一辆重型货车在倒车作业时，碰撞一名工人，事故造成该名工人死亡。事故发生后，清城区人民政府依法成立事故调查组，开展了事故调查，并形成《清城横荷御海蓝湾豪庭“12·25”一般车辆伤害事故调查报告》（以下简称《事故调查报告》）。2024年4月9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清城横荷御海蓝湾豪庭“12·25”一般车辆伤害事故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仿宋_GB2312" w:hAnsi="仿宋_GB2312" w:eastAsia="仿宋_GB2312" w:cs="仿宋_GB2312"/>
          <w:kern w:val="2"/>
          <w:sz w:val="32"/>
          <w:szCs w:val="32"/>
          <w:lang w:val="en-US" w:eastAsia="zh-CN"/>
        </w:rPr>
        <w:t>清城区交通运输局已对清远市广成运输服务有限公司作出行政处罚决定，现已将罚款上缴国库。</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清远市住房与城乡建设局</w:t>
      </w:r>
      <w:r>
        <w:rPr>
          <w:rFonts w:hint="eastAsia" w:ascii="仿宋_GB2312" w:hAnsi="仿宋_GB2312" w:eastAsia="仿宋_GB2312" w:cs="仿宋_GB2312"/>
          <w:kern w:val="2"/>
          <w:sz w:val="32"/>
          <w:szCs w:val="32"/>
          <w:lang w:val="en-US" w:eastAsia="zh-CN"/>
        </w:rPr>
        <w:t>已对</w:t>
      </w:r>
      <w:r>
        <w:rPr>
          <w:rFonts w:hint="eastAsia" w:ascii="仿宋_GB2312" w:hAnsi="仿宋_GB2312" w:eastAsia="仿宋_GB2312" w:cs="仿宋_GB2312"/>
          <w:b w:val="0"/>
          <w:bCs w:val="0"/>
          <w:sz w:val="32"/>
          <w:szCs w:val="32"/>
          <w:lang w:val="en-US" w:eastAsia="zh-CN"/>
        </w:rPr>
        <w:t>福建省顺安建筑工程有限公司</w:t>
      </w:r>
      <w:r>
        <w:rPr>
          <w:rFonts w:hint="eastAsia" w:ascii="仿宋_GB2312" w:hAnsi="仿宋_GB2312" w:eastAsia="仿宋_GB2312" w:cs="仿宋_GB2312"/>
          <w:kern w:val="2"/>
          <w:sz w:val="32"/>
          <w:szCs w:val="32"/>
          <w:lang w:val="en-US" w:eastAsia="zh-CN"/>
        </w:rPr>
        <w:t>作出行政处罚决定，现已将罚款上缴国库。</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b w:val="0"/>
          <w:bCs w:val="0"/>
          <w:sz w:val="32"/>
          <w:szCs w:val="32"/>
          <w:lang w:val="en-US" w:eastAsia="zh-CN"/>
        </w:rPr>
        <w:t>清远市住房与城乡建设局</w:t>
      </w:r>
      <w:r>
        <w:rPr>
          <w:rFonts w:hint="eastAsia" w:ascii="仿宋_GB2312" w:hAnsi="仿宋_GB2312" w:eastAsia="仿宋_GB2312" w:cs="仿宋_GB2312"/>
          <w:kern w:val="2"/>
          <w:sz w:val="32"/>
          <w:szCs w:val="32"/>
          <w:lang w:val="en-US" w:eastAsia="zh-CN"/>
        </w:rPr>
        <w:t>已对</w:t>
      </w:r>
      <w:r>
        <w:rPr>
          <w:rFonts w:hint="eastAsia" w:ascii="仿宋_GB2312" w:hAnsi="仿宋_GB2312" w:eastAsia="仿宋_GB2312" w:cs="仿宋_GB2312"/>
          <w:b w:val="0"/>
          <w:bCs w:val="0"/>
          <w:sz w:val="32"/>
          <w:szCs w:val="32"/>
          <w:lang w:val="en-US" w:eastAsia="zh-CN"/>
        </w:rPr>
        <w:t>何*生</w:t>
      </w:r>
      <w:r>
        <w:rPr>
          <w:rFonts w:hint="eastAsia" w:ascii="仿宋_GB2312" w:hAnsi="仿宋_GB2312" w:eastAsia="仿宋_GB2312" w:cs="仿宋_GB2312"/>
          <w:kern w:val="2"/>
          <w:sz w:val="32"/>
          <w:szCs w:val="32"/>
          <w:lang w:val="en-US" w:eastAsia="zh-CN"/>
        </w:rPr>
        <w:t>作出行政处罚决定，现已将罚款上缴国库。</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sz w:val="32"/>
          <w:szCs w:val="32"/>
          <w:lang w:val="en-US" w:eastAsia="zh-CN"/>
        </w:rPr>
      </w:pP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en-US" w:eastAsia="zh-CN"/>
        </w:rPr>
        <w:t>四）2024年9月1日清城区应急管理局已对朱*冲作出行政处罚决定，现已向法院申请强制执行。</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en-US" w:eastAsia="zh-CN"/>
        </w:rPr>
        <w:t>全面推行“一线三排”工作机制，落实事故企业“三个必须”措施。各级、各部门已吸取事故教训，持续深入开展“一线三排”工作，督促指导生产经营单位坚守发展决不能以牺牲人的生命为代价这条不可逾越的红线，全面排查、科学排序、有效排除各类风险隐患，坚决守住安全生产底线，以“一线三排”的实际行动，压实企业安全生产主体责任，深化隐患排查治理，力戒形式主义。要建立常态化的风险隐患研判机制，从人的不安全行为、物的不安全状态、作业环境的不安全因素以及管理的缺陷中研判隐患，对照风险隐患分级标准，加强管控和监督执法。对风险和隐患要落实“四早”（早发现、早研判、早预警、早控制）和隐患整治“五到位”（责任到位、措施到位、时限到位、资金到位、预案到位），切实把风险隐患消灭在萌芽状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各级有关部门已深刻吸取事故教训，举一反三，反衬做好本行业的重点整治。住建、交通部门要组织以识别大风险、消除大隐患为抓手，以防范和遏制建筑施工生产安全事故为目标，集中精力、人力、物力开展全面安全生产大检查整治工作，实现横向到边、纵向到底，对安全隐患零容忍，压实部门监管责任以及企业的主体责任，加强执法力度，确保生产安全形势的稳定好转。</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3D66C1"/>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052961"/>
    <w:rsid w:val="3B5311DC"/>
    <w:rsid w:val="3C553397"/>
    <w:rsid w:val="3CE1046D"/>
    <w:rsid w:val="3D1E42F4"/>
    <w:rsid w:val="3D777269"/>
    <w:rsid w:val="3E406CE8"/>
    <w:rsid w:val="3E687C14"/>
    <w:rsid w:val="3E9E1828"/>
    <w:rsid w:val="3EB469AD"/>
    <w:rsid w:val="3F425704"/>
    <w:rsid w:val="3F623970"/>
    <w:rsid w:val="403C3322"/>
    <w:rsid w:val="407740C6"/>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EC60F0D"/>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249</Words>
  <Characters>259</Characters>
  <Lines>0</Lines>
  <Paragraphs>0</Paragraphs>
  <TotalTime>1</TotalTime>
  <ScaleCrop>false</ScaleCrop>
  <LinksUpToDate>false</LinksUpToDate>
  <CharactersWithSpaces>327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2026-04-12T09:35:10Z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ies>
</file>