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val="0"/>
        <w:snapToGrid w:val="0"/>
        <w:spacing w:line="560" w:lineRule="exact"/>
        <w:ind w:right="0" w:rightChars="0"/>
        <w:jc w:val="center"/>
        <w:textAlignment w:val="auto"/>
        <w:rPr>
          <w:rFonts w:hint="eastAsia" w:ascii="仿宋_GB2312" w:hAnsi="仿宋_GB2312" w:eastAsia="仿宋_GB2312" w:cs="仿宋_GB2312"/>
          <w:color w:val="auto"/>
          <w:sz w:val="84"/>
          <w:szCs w:val="84"/>
          <w:highlight w:val="none"/>
          <w:lang w:val="en-US" w:eastAsia="zh-CN"/>
        </w:rPr>
      </w:pPr>
      <w:r>
        <w:rPr>
          <w:rFonts w:hint="eastAsia" w:ascii="仿宋_GB2312" w:hAnsi="仿宋_GB2312" w:eastAsia="仿宋_GB2312" w:cs="仿宋_GB2312"/>
          <w:color w:val="auto"/>
          <w:sz w:val="84"/>
          <w:szCs w:val="84"/>
          <w:highlight w:val="none"/>
          <w:lang w:val="en-US" w:eastAsia="zh-CN"/>
        </w:rPr>
        <w:t xml:space="preserve"> </w:t>
      </w:r>
    </w:p>
    <w:p>
      <w:pPr>
        <w:pStyle w:val="2"/>
        <w:pageBreakBefore w:val="0"/>
        <w:kinsoku/>
        <w:wordWrap/>
        <w:overflowPunct/>
        <w:topLinePunct w:val="0"/>
        <w:autoSpaceDE/>
        <w:autoSpaceDN/>
        <w:bidi w:val="0"/>
        <w:spacing w:line="560" w:lineRule="exact"/>
        <w:outlineLvl w:val="9"/>
        <w:rPr>
          <w:rFonts w:hint="eastAsia" w:ascii="仿宋_GB2312" w:hAnsi="仿宋_GB2312" w:eastAsia="仿宋_GB2312" w:cs="仿宋_GB2312"/>
          <w:color w:val="auto"/>
          <w:sz w:val="84"/>
          <w:szCs w:val="8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仿宋_GB2312" w:hAnsi="仿宋_GB2312" w:eastAsia="仿宋_GB2312" w:cs="仿宋_GB2312"/>
          <w:color w:val="auto"/>
          <w:sz w:val="84"/>
          <w:szCs w:val="8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黑体" w:hAnsi="黑体" w:eastAsia="黑体" w:cs="黑体"/>
          <w:color w:val="auto"/>
          <w:sz w:val="72"/>
          <w:szCs w:val="72"/>
          <w:highlight w:val="none"/>
          <w:lang w:val="en-US" w:eastAsia="zh-CN"/>
        </w:rPr>
      </w:pPr>
      <w:r>
        <w:rPr>
          <w:rFonts w:hint="eastAsia" w:ascii="黑体" w:hAnsi="黑体" w:eastAsia="黑体" w:cs="黑体"/>
          <w:color w:val="auto"/>
          <w:sz w:val="72"/>
          <w:szCs w:val="72"/>
          <w:highlight w:val="none"/>
          <w:lang w:val="en-US" w:eastAsia="zh-CN"/>
        </w:rPr>
        <w:t>清远市清城区横荷街道</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黑体" w:hAnsi="黑体" w:eastAsia="黑体" w:cs="黑体"/>
          <w:color w:val="auto"/>
          <w:sz w:val="72"/>
          <w:szCs w:val="72"/>
          <w:highlight w:val="none"/>
          <w:lang w:val="en-US" w:eastAsia="zh-CN"/>
        </w:rPr>
      </w:pPr>
      <w:r>
        <w:rPr>
          <w:rFonts w:hint="eastAsia" w:ascii="黑体" w:hAnsi="黑体" w:eastAsia="黑体" w:cs="黑体"/>
          <w:color w:val="auto"/>
          <w:sz w:val="72"/>
          <w:szCs w:val="72"/>
          <w:highlight w:val="none"/>
          <w:lang w:val="en-US" w:eastAsia="zh-CN"/>
        </w:rPr>
        <w:t>再生资源回收网点规划</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黑体" w:hAnsi="黑体" w:eastAsia="黑体" w:cs="黑体"/>
          <w:color w:val="auto"/>
          <w:sz w:val="52"/>
          <w:szCs w:val="52"/>
          <w:highlight w:val="none"/>
          <w:lang w:val="en-US" w:eastAsia="zh-CN"/>
        </w:rPr>
      </w:pPr>
      <w:r>
        <w:rPr>
          <w:rFonts w:hint="eastAsia" w:ascii="黑体" w:hAnsi="黑体" w:eastAsia="黑体" w:cs="黑体"/>
          <w:color w:val="auto"/>
          <w:sz w:val="52"/>
          <w:szCs w:val="52"/>
          <w:highlight w:val="none"/>
          <w:lang w:eastAsia="zh-CN"/>
        </w:rPr>
        <w:t>（</w:t>
      </w:r>
      <w:r>
        <w:rPr>
          <w:rFonts w:hint="eastAsia" w:ascii="黑体" w:hAnsi="黑体" w:eastAsia="黑体" w:cs="黑体"/>
          <w:color w:val="auto"/>
          <w:sz w:val="52"/>
          <w:szCs w:val="52"/>
          <w:highlight w:val="none"/>
          <w:lang w:val="en-US" w:eastAsia="zh-CN"/>
        </w:rPr>
        <w:t>2025—2029年）</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黑体" w:hAnsi="黑体" w:eastAsia="黑体" w:cs="黑体"/>
          <w:color w:val="auto"/>
          <w:sz w:val="52"/>
          <w:szCs w:val="52"/>
          <w:highlight w:val="none"/>
          <w:lang w:val="en-US" w:eastAsia="zh-CN"/>
        </w:rPr>
      </w:pPr>
      <w:r>
        <w:rPr>
          <w:rFonts w:hint="eastAsia" w:ascii="黑体" w:hAnsi="黑体" w:eastAsia="黑体" w:cs="黑体"/>
          <w:color w:val="auto"/>
          <w:sz w:val="52"/>
          <w:szCs w:val="52"/>
          <w:highlight w:val="none"/>
          <w:lang w:val="en-US" w:eastAsia="zh-CN"/>
        </w:rPr>
        <w:t>（二次征求意见稿）</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黑体" w:hAnsi="黑体" w:eastAsia="黑体" w:cs="黑体"/>
          <w:color w:val="auto"/>
          <w:sz w:val="52"/>
          <w:szCs w:val="52"/>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黑体" w:hAnsi="黑体" w:eastAsia="黑体" w:cs="黑体"/>
          <w:color w:val="auto"/>
          <w:sz w:val="52"/>
          <w:szCs w:val="52"/>
          <w:highlight w:val="none"/>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仿宋_GB2312" w:hAnsi="仿宋_GB2312" w:eastAsia="仿宋_GB2312" w:cs="仿宋_GB2312"/>
          <w:color w:val="auto"/>
          <w:sz w:val="52"/>
          <w:szCs w:val="52"/>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仿宋_GB2312" w:hAnsi="仿宋_GB2312" w:eastAsia="仿宋_GB2312" w:cs="仿宋_GB2312"/>
          <w:color w:val="auto"/>
          <w:sz w:val="52"/>
          <w:szCs w:val="52"/>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仿宋_GB2312" w:hAnsi="仿宋_GB2312" w:eastAsia="仿宋_GB2312" w:cs="仿宋_GB2312"/>
          <w:color w:val="auto"/>
          <w:sz w:val="52"/>
          <w:szCs w:val="52"/>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仿宋_GB2312" w:hAnsi="仿宋_GB2312" w:eastAsia="仿宋_GB2312" w:cs="仿宋_GB2312"/>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仿宋_GB2312" w:hAnsi="仿宋_GB2312" w:eastAsia="仿宋_GB2312" w:cs="仿宋_GB2312"/>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仿宋_GB2312" w:hAnsi="仿宋_GB2312" w:eastAsia="仿宋_GB2312" w:cs="仿宋_GB2312"/>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仿宋_GB2312" w:hAnsi="仿宋_GB2312" w:eastAsia="仿宋_GB2312" w:cs="仿宋_GB2312"/>
          <w:color w:val="auto"/>
          <w:sz w:val="36"/>
          <w:szCs w:val="36"/>
          <w:highlight w:val="none"/>
          <w:lang w:val="en-US" w:eastAsia="zh-CN"/>
        </w:rPr>
      </w:pPr>
      <w:r>
        <w:rPr>
          <w:rFonts w:hint="eastAsia" w:ascii="仿宋_GB2312" w:hAnsi="仿宋_GB2312" w:eastAsia="仿宋_GB2312" w:cs="仿宋_GB2312"/>
          <w:color w:val="auto"/>
          <w:sz w:val="36"/>
          <w:szCs w:val="36"/>
          <w:highlight w:val="none"/>
          <w:lang w:val="en-US" w:eastAsia="zh-CN"/>
        </w:rPr>
        <w:t>清远市清城区人民政府横荷街道办事处</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仿宋_GB2312" w:hAnsi="仿宋_GB2312" w:eastAsia="仿宋_GB2312" w:cs="仿宋_GB2312"/>
          <w:color w:val="auto"/>
          <w:sz w:val="36"/>
          <w:szCs w:val="36"/>
          <w:highlight w:val="none"/>
          <w:lang w:val="en-US" w:eastAsia="zh-CN"/>
        </w:rPr>
      </w:pPr>
      <w:r>
        <w:rPr>
          <w:rFonts w:hint="eastAsia" w:ascii="仿宋_GB2312" w:hAnsi="仿宋_GB2312" w:eastAsia="仿宋_GB2312" w:cs="仿宋_GB2312"/>
          <w:color w:val="auto"/>
          <w:sz w:val="36"/>
          <w:szCs w:val="36"/>
          <w:highlight w:val="none"/>
          <w:lang w:val="en-US" w:eastAsia="zh-CN"/>
        </w:rPr>
        <w:t>二〇二五年十一月</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outlineLvl w:val="9"/>
        <w:rPr>
          <w:rFonts w:hint="eastAsia" w:ascii="仿宋_GB2312" w:hAnsi="仿宋_GB2312" w:eastAsia="仿宋_GB2312" w:cs="仿宋_GB2312"/>
          <w:color w:val="auto"/>
          <w:sz w:val="36"/>
          <w:szCs w:val="36"/>
          <w:highlight w:val="none"/>
          <w:lang w:val="en-US" w:eastAsia="zh-CN"/>
        </w:rPr>
      </w:pPr>
      <w:r>
        <w:rPr>
          <w:rFonts w:hint="eastAsia" w:ascii="仿宋_GB2312" w:hAnsi="仿宋_GB2312" w:eastAsia="仿宋_GB2312" w:cs="仿宋_GB2312"/>
          <w:color w:val="auto"/>
          <w:sz w:val="36"/>
          <w:szCs w:val="36"/>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rPr>
          <w:rFonts w:hint="eastAsia" w:ascii="仿宋_GB2312" w:hAnsi="仿宋_GB2312" w:eastAsia="仿宋_GB2312" w:cs="仿宋_GB2312"/>
          <w:b w:val="0"/>
          <w:bCs w:val="0"/>
          <w:color w:val="auto"/>
          <w:sz w:val="44"/>
          <w:szCs w:val="44"/>
          <w:highlight w:val="none"/>
        </w:rPr>
        <w:sectPr>
          <w:footerReference r:id="rId3" w:type="default"/>
          <w:pgSz w:w="11906" w:h="16838"/>
          <w:pgMar w:top="1440" w:right="1800" w:bottom="1440" w:left="1800" w:header="851" w:footer="992" w:gutter="0"/>
          <w:pgNumType w:fmt="numberInDash"/>
          <w:cols w:space="720" w:num="1"/>
          <w:docGrid w:type="lines" w:linePitch="312" w:charSpace="0"/>
        </w:sectPr>
      </w:pPr>
    </w:p>
    <w:sdt>
      <w:sdtPr>
        <w:rPr>
          <w:rFonts w:ascii="宋体" w:hAnsi="宋体" w:eastAsia="宋体" w:cs="Times New Roman"/>
          <w:kern w:val="2"/>
          <w:sz w:val="21"/>
          <w:szCs w:val="24"/>
          <w:lang w:val="en-US" w:eastAsia="zh-CN" w:bidi="ar-SA"/>
        </w:rPr>
        <w:id w:val="147457812"/>
        <w15:color w:val="DBDBDB"/>
        <w:docPartObj>
          <w:docPartGallery w:val="Table of Contents"/>
          <w:docPartUnique/>
        </w:docPartObj>
      </w:sdtPr>
      <w:sdtEndPr>
        <w:rPr>
          <w:rFonts w:hint="eastAsia" w:ascii="方正小标宋_GBK" w:hAnsi="方正小标宋_GBK" w:eastAsia="方正小标宋_GBK" w:cs="方正小标宋_GBK"/>
          <w:b/>
          <w:bCs w:val="0"/>
          <w:color w:val="auto"/>
          <w:kern w:val="2"/>
          <w:sz w:val="21"/>
          <w:szCs w:val="44"/>
          <w:highlight w:val="none"/>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rPr>
              <w:rFonts w:hint="eastAsia" w:ascii="方正小标宋_GBK" w:hAnsi="方正小标宋_GBK" w:eastAsia="方正小标宋_GBK" w:cs="方正小标宋_GBK"/>
              <w:b w:val="0"/>
              <w:bCs w:val="0"/>
              <w:color w:val="auto"/>
              <w:sz w:val="44"/>
              <w:szCs w:val="44"/>
              <w:highlight w:val="none"/>
            </w:rPr>
            <w:fldChar w:fldCharType="begin"/>
          </w:r>
          <w:r>
            <w:rPr>
              <w:rFonts w:hint="eastAsia" w:ascii="方正小标宋_GBK" w:hAnsi="方正小标宋_GBK" w:eastAsia="方正小标宋_GBK" w:cs="方正小标宋_GBK"/>
              <w:b w:val="0"/>
              <w:bCs w:val="0"/>
              <w:color w:val="auto"/>
              <w:sz w:val="44"/>
              <w:szCs w:val="44"/>
              <w:highlight w:val="none"/>
            </w:rPr>
            <w:instrText xml:space="preserve">TOC \o "1-2" \h \u </w:instrText>
          </w:r>
          <w:r>
            <w:rPr>
              <w:rFonts w:hint="eastAsia" w:ascii="方正小标宋_GBK" w:hAnsi="方正小标宋_GBK" w:eastAsia="方正小标宋_GBK" w:cs="方正小标宋_GBK"/>
              <w:b w:val="0"/>
              <w:bCs w:val="0"/>
              <w:color w:val="auto"/>
              <w:sz w:val="44"/>
              <w:szCs w:val="44"/>
              <w:highlight w:val="none"/>
            </w:rPr>
            <w:fldChar w:fldCharType="separate"/>
          </w:r>
        </w:p>
        <w:p>
          <w:pPr>
            <w:pStyle w:val="6"/>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_Toc8876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rPr>
            <w:t xml:space="preserve">第一章  </w:t>
          </w:r>
          <w:r>
            <w:rPr>
              <w:rFonts w:hint="eastAsia" w:ascii="黑体" w:hAnsi="黑体" w:eastAsia="黑体" w:cs="黑体"/>
              <w:bCs w:val="0"/>
              <w:szCs w:val="32"/>
              <w:highlight w:val="none"/>
              <w:lang w:eastAsia="zh-CN"/>
            </w:rPr>
            <w:t>规划</w:t>
          </w:r>
          <w:r>
            <w:rPr>
              <w:rFonts w:hint="eastAsia" w:ascii="黑体" w:hAnsi="黑体" w:eastAsia="黑体" w:cs="黑体"/>
              <w:bCs w:val="0"/>
              <w:szCs w:val="32"/>
              <w:highlight w:val="none"/>
            </w:rPr>
            <w:t>总则</w:t>
          </w:r>
          <w:r>
            <w:tab/>
          </w:r>
          <w:r>
            <w:fldChar w:fldCharType="begin"/>
          </w:r>
          <w:r>
            <w:instrText xml:space="preserve"> PAGEREF _Toc8876 \h </w:instrText>
          </w:r>
          <w:r>
            <w:fldChar w:fldCharType="separate"/>
          </w:r>
          <w:r>
            <w:t>- 1 -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_Toc29372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kern w:val="44"/>
              <w:szCs w:val="32"/>
              <w:highlight w:val="none"/>
              <w:lang w:val="en-US" w:eastAsia="zh-CN" w:bidi="ar-SA"/>
            </w:rPr>
            <w:t>一、项目背景</w:t>
          </w:r>
          <w:r>
            <w:tab/>
          </w:r>
          <w:r>
            <w:fldChar w:fldCharType="begin"/>
          </w:r>
          <w:r>
            <w:instrText xml:space="preserve"> PAGEREF _Toc29372 \h </w:instrText>
          </w:r>
          <w:r>
            <w:fldChar w:fldCharType="separate"/>
          </w:r>
          <w:r>
            <w:t>- 1 -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_Toc9846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二、</w:t>
          </w:r>
          <w:r>
            <w:rPr>
              <w:rFonts w:hint="eastAsia" w:ascii="黑体" w:hAnsi="黑体" w:eastAsia="黑体" w:cs="黑体"/>
              <w:bCs w:val="0"/>
              <w:szCs w:val="32"/>
              <w:highlight w:val="none"/>
            </w:rPr>
            <w:t>规划</w:t>
          </w:r>
          <w:r>
            <w:rPr>
              <w:rFonts w:hint="eastAsia" w:ascii="黑体" w:hAnsi="黑体" w:eastAsia="黑体" w:cs="黑体"/>
              <w:bCs w:val="0"/>
              <w:szCs w:val="32"/>
              <w:highlight w:val="none"/>
              <w:lang w:eastAsia="zh-CN"/>
            </w:rPr>
            <w:t>对象、规划范围与期限</w:t>
          </w:r>
          <w:r>
            <w:tab/>
          </w:r>
          <w:r>
            <w:fldChar w:fldCharType="begin"/>
          </w:r>
          <w:r>
            <w:instrText xml:space="preserve"> PAGEREF _Toc9846 \h </w:instrText>
          </w:r>
          <w:r>
            <w:fldChar w:fldCharType="separate"/>
          </w:r>
          <w:r>
            <w:t>- 2 -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_Toc18999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三、规划依据</w:t>
          </w:r>
          <w:r>
            <w:tab/>
          </w:r>
          <w:r>
            <w:fldChar w:fldCharType="begin"/>
          </w:r>
          <w:r>
            <w:instrText xml:space="preserve"> PAGEREF _Toc18999 \h </w:instrText>
          </w:r>
          <w:r>
            <w:fldChar w:fldCharType="separate"/>
          </w:r>
          <w:r>
            <w:t>- 2 -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_Toc25111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四、名词解释</w:t>
          </w:r>
          <w:r>
            <w:tab/>
          </w:r>
          <w:r>
            <w:fldChar w:fldCharType="begin"/>
          </w:r>
          <w:r>
            <w:instrText xml:space="preserve"> PAGEREF _Toc25111 \h </w:instrText>
          </w:r>
          <w:r>
            <w:fldChar w:fldCharType="separate"/>
          </w:r>
          <w:r>
            <w:t>- 7 -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6"/>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_Toc4417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szCs w:val="32"/>
              <w:highlight w:val="none"/>
            </w:rPr>
            <w:t xml:space="preserve">第二章  </w:t>
          </w:r>
          <w:r>
            <w:rPr>
              <w:rFonts w:hint="eastAsia" w:ascii="黑体" w:hAnsi="黑体" w:eastAsia="黑体" w:cs="黑体"/>
              <w:szCs w:val="32"/>
              <w:highlight w:val="none"/>
              <w:lang w:eastAsia="zh-CN"/>
            </w:rPr>
            <w:t>现状概况</w:t>
          </w:r>
          <w:r>
            <w:tab/>
          </w:r>
          <w:r>
            <w:fldChar w:fldCharType="begin"/>
          </w:r>
          <w:r>
            <w:instrText xml:space="preserve"> PAGEREF _Toc4417 \h </w:instrText>
          </w:r>
          <w:r>
            <w:fldChar w:fldCharType="separate"/>
          </w:r>
          <w:r>
            <w:t>- 9 -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_Toc24278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一、再生资源回收行业现状</w:t>
          </w:r>
          <w:r>
            <w:tab/>
          </w:r>
          <w:r>
            <w:fldChar w:fldCharType="begin"/>
          </w:r>
          <w:r>
            <w:instrText xml:space="preserve"> PAGEREF _Toc24278 \h </w:instrText>
          </w:r>
          <w:r>
            <w:fldChar w:fldCharType="separate"/>
          </w:r>
          <w:r>
            <w:t>- 9 -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_Toc26249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二、再生资源回收网点现状</w:t>
          </w:r>
          <w:r>
            <w:tab/>
          </w:r>
          <w:r>
            <w:fldChar w:fldCharType="begin"/>
          </w:r>
          <w:r>
            <w:instrText xml:space="preserve"> PAGEREF _Toc26249 \h </w:instrText>
          </w:r>
          <w:r>
            <w:fldChar w:fldCharType="separate"/>
          </w:r>
          <w:r>
            <w:t>- 9 -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_Toc14603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三、再生资源回收网点存在问题</w:t>
          </w:r>
          <w:r>
            <w:tab/>
          </w:r>
          <w:r>
            <w:fldChar w:fldCharType="begin"/>
          </w:r>
          <w:r>
            <w:instrText xml:space="preserve"> PAGEREF _Toc14603 \h </w:instrText>
          </w:r>
          <w:r>
            <w:fldChar w:fldCharType="separate"/>
          </w:r>
          <w:r>
            <w:t>- 11 -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_Toc5094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四、再生资源回收面临的挑战</w:t>
          </w:r>
          <w:r>
            <w:tab/>
          </w:r>
          <w:r>
            <w:fldChar w:fldCharType="begin"/>
          </w:r>
          <w:r>
            <w:instrText xml:space="preserve"> PAGEREF _Toc5094 \h </w:instrText>
          </w:r>
          <w:r>
            <w:fldChar w:fldCharType="separate"/>
          </w:r>
          <w:r>
            <w:t>- 12 -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6"/>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_Toc7838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szCs w:val="32"/>
              <w:highlight w:val="none"/>
              <w:lang w:eastAsia="zh-CN"/>
            </w:rPr>
            <w:t>第三章</w:t>
          </w:r>
          <w:r>
            <w:rPr>
              <w:rFonts w:hint="eastAsia" w:ascii="黑体" w:hAnsi="黑体" w:eastAsia="黑体" w:cs="黑体"/>
              <w:szCs w:val="32"/>
              <w:highlight w:val="none"/>
              <w:lang w:val="en-US" w:eastAsia="zh-CN"/>
            </w:rPr>
            <w:t xml:space="preserve"> </w:t>
          </w:r>
          <w:r>
            <w:rPr>
              <w:rFonts w:hint="eastAsia" w:ascii="黑体" w:hAnsi="黑体" w:eastAsia="黑体" w:cs="黑体"/>
              <w:szCs w:val="32"/>
              <w:highlight w:val="none"/>
              <w:lang w:eastAsia="zh-CN"/>
            </w:rPr>
            <w:t>总体规划</w:t>
          </w:r>
          <w:r>
            <w:tab/>
          </w:r>
          <w:r>
            <w:fldChar w:fldCharType="begin"/>
          </w:r>
          <w:r>
            <w:instrText xml:space="preserve"> PAGEREF _Toc7838 \h </w:instrText>
          </w:r>
          <w:r>
            <w:fldChar w:fldCharType="separate"/>
          </w:r>
          <w:r>
            <w:t>- 14 -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_Toc13640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一、规划原则</w:t>
          </w:r>
          <w:r>
            <w:tab/>
          </w:r>
          <w:r>
            <w:fldChar w:fldCharType="begin"/>
          </w:r>
          <w:r>
            <w:instrText xml:space="preserve"> PAGEREF _Toc13640 \h </w:instrText>
          </w:r>
          <w:r>
            <w:fldChar w:fldCharType="separate"/>
          </w:r>
          <w:r>
            <w:t>- 14 -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_Toc29384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二、规划目标</w:t>
          </w:r>
          <w:r>
            <w:tab/>
          </w:r>
          <w:r>
            <w:fldChar w:fldCharType="begin"/>
          </w:r>
          <w:r>
            <w:instrText xml:space="preserve"> PAGEREF _Toc29384 \h </w:instrText>
          </w:r>
          <w:r>
            <w:fldChar w:fldCharType="separate"/>
          </w:r>
          <w:r>
            <w:t>- 15 -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_Toc1022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三、规划策略</w:t>
          </w:r>
          <w:r>
            <w:tab/>
          </w:r>
          <w:r>
            <w:fldChar w:fldCharType="begin"/>
          </w:r>
          <w:r>
            <w:instrText xml:space="preserve"> PAGEREF _Toc1022 \h </w:instrText>
          </w:r>
          <w:r>
            <w:fldChar w:fldCharType="separate"/>
          </w:r>
          <w:r>
            <w:t>- 16 -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_Toc18602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四、规划思路</w:t>
          </w:r>
          <w:r>
            <w:tab/>
          </w:r>
          <w:r>
            <w:fldChar w:fldCharType="begin"/>
          </w:r>
          <w:r>
            <w:instrText xml:space="preserve"> PAGEREF _Toc18602 \h </w:instrText>
          </w:r>
          <w:r>
            <w:fldChar w:fldCharType="separate"/>
          </w:r>
          <w:r>
            <w:t>- 16 -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6"/>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_Toc20849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szCs w:val="32"/>
              <w:highlight w:val="none"/>
            </w:rPr>
            <w:t>第</w:t>
          </w:r>
          <w:r>
            <w:rPr>
              <w:rFonts w:hint="eastAsia" w:ascii="黑体" w:hAnsi="黑体" w:eastAsia="黑体" w:cs="黑体"/>
              <w:szCs w:val="32"/>
              <w:highlight w:val="none"/>
              <w:lang w:eastAsia="zh-CN"/>
            </w:rPr>
            <w:t>四</w:t>
          </w:r>
          <w:r>
            <w:rPr>
              <w:rFonts w:hint="eastAsia" w:ascii="黑体" w:hAnsi="黑体" w:eastAsia="黑体" w:cs="黑体"/>
              <w:szCs w:val="32"/>
              <w:highlight w:val="none"/>
            </w:rPr>
            <w:t xml:space="preserve">章 </w:t>
          </w:r>
          <w:r>
            <w:rPr>
              <w:rFonts w:hint="eastAsia" w:ascii="黑体" w:hAnsi="黑体" w:eastAsia="黑体" w:cs="黑体"/>
              <w:szCs w:val="32"/>
              <w:highlight w:val="none"/>
              <w:lang w:eastAsia="zh-CN"/>
            </w:rPr>
            <w:t>再生资源收运体系规划</w:t>
          </w:r>
          <w:r>
            <w:tab/>
          </w:r>
          <w:r>
            <w:fldChar w:fldCharType="begin"/>
          </w:r>
          <w:r>
            <w:instrText xml:space="preserve"> PAGEREF _Toc20849 \h </w:instrText>
          </w:r>
          <w:r>
            <w:fldChar w:fldCharType="separate"/>
          </w:r>
          <w:r>
            <w:t>- 18 -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_Toc13224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kern w:val="44"/>
              <w:szCs w:val="32"/>
              <w:highlight w:val="none"/>
              <w:lang w:val="en-US" w:eastAsia="zh-CN" w:bidi="ar-SA"/>
            </w:rPr>
            <w:t>一、构建三级收运体系</w:t>
          </w:r>
          <w:r>
            <w:tab/>
          </w:r>
          <w:r>
            <w:fldChar w:fldCharType="begin"/>
          </w:r>
          <w:r>
            <w:instrText xml:space="preserve"> PAGEREF _Toc13224 \h </w:instrText>
          </w:r>
          <w:r>
            <w:fldChar w:fldCharType="separate"/>
          </w:r>
          <w:r>
            <w:t>- 18 -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_Toc21645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kern w:val="44"/>
              <w:szCs w:val="32"/>
              <w:highlight w:val="none"/>
              <w:lang w:val="en-US" w:eastAsia="zh-CN" w:bidi="ar-SA"/>
            </w:rPr>
            <w:t>二、规范再生资源回收经营管理</w:t>
          </w:r>
          <w:r>
            <w:tab/>
          </w:r>
          <w:r>
            <w:fldChar w:fldCharType="begin"/>
          </w:r>
          <w:r>
            <w:instrText xml:space="preserve"> PAGEREF _Toc21645 \h </w:instrText>
          </w:r>
          <w:r>
            <w:fldChar w:fldCharType="separate"/>
          </w:r>
          <w:r>
            <w:t>- 18 -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_Toc9144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kern w:val="44"/>
              <w:szCs w:val="32"/>
              <w:highlight w:val="none"/>
              <w:lang w:val="en-US" w:eastAsia="zh-CN" w:bidi="ar-SA"/>
            </w:rPr>
            <w:t>三、规划再生资源社区回收网点</w:t>
          </w:r>
          <w:r>
            <w:tab/>
          </w:r>
          <w:r>
            <w:fldChar w:fldCharType="begin"/>
          </w:r>
          <w:r>
            <w:instrText xml:space="preserve"> PAGEREF _Toc9144 \h </w:instrText>
          </w:r>
          <w:r>
            <w:fldChar w:fldCharType="separate"/>
          </w:r>
          <w:r>
            <w:t>- 18 -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_Toc29951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kern w:val="44"/>
              <w:szCs w:val="32"/>
              <w:highlight w:val="none"/>
              <w:lang w:val="en-US" w:eastAsia="zh-CN" w:bidi="ar-SA"/>
            </w:rPr>
            <w:t>四、优化再生资源中转站布局</w:t>
          </w:r>
          <w:r>
            <w:tab/>
          </w:r>
          <w:r>
            <w:fldChar w:fldCharType="begin"/>
          </w:r>
          <w:r>
            <w:instrText xml:space="preserve"> PAGEREF _Toc29951 \h </w:instrText>
          </w:r>
          <w:r>
            <w:fldChar w:fldCharType="separate"/>
          </w:r>
          <w:r>
            <w:t>- 26 -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_Toc32417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kern w:val="44"/>
              <w:szCs w:val="32"/>
              <w:highlight w:val="none"/>
              <w:lang w:val="en-US" w:eastAsia="zh-CN" w:bidi="ar-SA"/>
            </w:rPr>
            <w:t>五、选址建设再生资源分拣中心</w:t>
          </w:r>
          <w:r>
            <w:tab/>
          </w:r>
          <w:r>
            <w:fldChar w:fldCharType="begin"/>
          </w:r>
          <w:r>
            <w:instrText xml:space="preserve"> PAGEREF _Toc32417 \h </w:instrText>
          </w:r>
          <w:r>
            <w:fldChar w:fldCharType="separate"/>
          </w:r>
          <w:r>
            <w:t>- 28 -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_Toc21870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kern w:val="44"/>
              <w:szCs w:val="32"/>
              <w:highlight w:val="none"/>
              <w:lang w:val="en-US" w:eastAsia="zh-CN" w:bidi="ar-SA"/>
            </w:rPr>
            <w:t>六、建立再生资源管理智慧云平台</w:t>
          </w:r>
          <w:r>
            <w:tab/>
          </w:r>
          <w:r>
            <w:fldChar w:fldCharType="begin"/>
          </w:r>
          <w:r>
            <w:instrText xml:space="preserve"> PAGEREF _Toc21870 \h </w:instrText>
          </w:r>
          <w:r>
            <w:fldChar w:fldCharType="separate"/>
          </w:r>
          <w:r>
            <w:t>- 30 -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6"/>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_Toc13211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szCs w:val="32"/>
              <w:highlight w:val="none"/>
            </w:rPr>
            <w:t>第</w:t>
          </w:r>
          <w:r>
            <w:rPr>
              <w:rFonts w:hint="eastAsia" w:ascii="黑体" w:hAnsi="黑体" w:eastAsia="黑体" w:cs="黑体"/>
              <w:szCs w:val="32"/>
              <w:highlight w:val="none"/>
              <w:lang w:eastAsia="zh-CN"/>
            </w:rPr>
            <w:t>五</w:t>
          </w:r>
          <w:r>
            <w:rPr>
              <w:rFonts w:hint="eastAsia" w:ascii="黑体" w:hAnsi="黑体" w:eastAsia="黑体" w:cs="黑体"/>
              <w:szCs w:val="32"/>
              <w:highlight w:val="none"/>
            </w:rPr>
            <w:t xml:space="preserve">章 </w:t>
          </w:r>
          <w:r>
            <w:rPr>
              <w:rFonts w:hint="eastAsia" w:ascii="黑体" w:hAnsi="黑体" w:eastAsia="黑体" w:cs="黑体"/>
              <w:szCs w:val="32"/>
              <w:highlight w:val="none"/>
              <w:lang w:eastAsia="zh-CN"/>
            </w:rPr>
            <w:t>实施保障</w:t>
          </w:r>
          <w:r>
            <w:tab/>
          </w:r>
          <w:r>
            <w:fldChar w:fldCharType="begin"/>
          </w:r>
          <w:r>
            <w:instrText xml:space="preserve"> PAGEREF _Toc13211 \h </w:instrText>
          </w:r>
          <w:r>
            <w:fldChar w:fldCharType="separate"/>
          </w:r>
          <w:r>
            <w:t>- 31 -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_Toc30789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一、</w:t>
          </w:r>
          <w:r>
            <w:rPr>
              <w:rFonts w:hint="eastAsia" w:ascii="黑体" w:hAnsi="黑体" w:eastAsia="黑体" w:cs="黑体"/>
              <w:bCs w:val="0"/>
              <w:szCs w:val="32"/>
              <w:highlight w:val="none"/>
            </w:rPr>
            <w:t>加强</w:t>
          </w:r>
          <w:r>
            <w:rPr>
              <w:rFonts w:hint="eastAsia" w:ascii="黑体" w:hAnsi="黑体" w:eastAsia="黑体" w:cs="黑体"/>
              <w:bCs w:val="0"/>
              <w:szCs w:val="32"/>
              <w:highlight w:val="none"/>
              <w:lang w:val="en-US" w:eastAsia="zh-CN"/>
            </w:rPr>
            <w:t>组织保障</w:t>
          </w:r>
          <w:r>
            <w:tab/>
          </w:r>
          <w:r>
            <w:fldChar w:fldCharType="begin"/>
          </w:r>
          <w:r>
            <w:instrText xml:space="preserve"> PAGEREF _Toc30789 \h </w:instrText>
          </w:r>
          <w:r>
            <w:fldChar w:fldCharType="separate"/>
          </w:r>
          <w:r>
            <w:t>- 31 -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_Toc14309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二、创新商业模式</w:t>
          </w:r>
          <w:r>
            <w:tab/>
          </w:r>
          <w:r>
            <w:fldChar w:fldCharType="begin"/>
          </w:r>
          <w:r>
            <w:instrText xml:space="preserve"> PAGEREF _Toc14309 \h </w:instrText>
          </w:r>
          <w:r>
            <w:fldChar w:fldCharType="separate"/>
          </w:r>
          <w:r>
            <w:t>- 31 -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_Toc3743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三、打造标杆示范</w:t>
          </w:r>
          <w:r>
            <w:tab/>
          </w:r>
          <w:r>
            <w:fldChar w:fldCharType="begin"/>
          </w:r>
          <w:r>
            <w:instrText xml:space="preserve"> PAGEREF _Toc3743 \h </w:instrText>
          </w:r>
          <w:r>
            <w:fldChar w:fldCharType="separate"/>
          </w:r>
          <w:r>
            <w:t>- 32 -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_Toc20053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四、整顿行业乱象</w:t>
          </w:r>
          <w:r>
            <w:tab/>
          </w:r>
          <w:r>
            <w:fldChar w:fldCharType="begin"/>
          </w:r>
          <w:r>
            <w:instrText xml:space="preserve"> PAGEREF _Toc20053 \h </w:instrText>
          </w:r>
          <w:r>
            <w:fldChar w:fldCharType="separate"/>
          </w:r>
          <w:r>
            <w:t>- 32 -</w:t>
          </w:r>
          <w:r>
            <w:fldChar w:fldCharType="end"/>
          </w:r>
          <w:r>
            <w:rPr>
              <w:rFonts w:hint="eastAsia" w:ascii="方正小标宋_GBK" w:hAnsi="方正小标宋_GBK" w:eastAsia="方正小标宋_GBK" w:cs="方正小标宋_GBK"/>
              <w:bCs w:val="0"/>
              <w:color w:val="auto"/>
              <w:szCs w:val="44"/>
              <w:highlight w:val="none"/>
            </w:rPr>
            <w:fldChar w:fldCharType="end"/>
          </w:r>
        </w:p>
        <w:p>
          <w:pPr>
            <w:pStyle w:val="7"/>
            <w:tabs>
              <w:tab w:val="right" w:leader="dot" w:pos="8306"/>
            </w:tabs>
          </w:pPr>
          <w:r>
            <w:rPr>
              <w:rFonts w:hint="eastAsia" w:ascii="方正小标宋_GBK" w:hAnsi="方正小标宋_GBK" w:eastAsia="方正小标宋_GBK" w:cs="方正小标宋_GBK"/>
              <w:bCs w:val="0"/>
              <w:color w:val="auto"/>
              <w:szCs w:val="44"/>
              <w:highlight w:val="none"/>
            </w:rPr>
            <w:fldChar w:fldCharType="begin"/>
          </w:r>
          <w:r>
            <w:rPr>
              <w:rFonts w:hint="eastAsia" w:ascii="方正小标宋_GBK" w:hAnsi="方正小标宋_GBK" w:eastAsia="方正小标宋_GBK" w:cs="方正小标宋_GBK"/>
              <w:bCs w:val="0"/>
              <w:szCs w:val="44"/>
              <w:highlight w:val="none"/>
            </w:rPr>
            <w:instrText xml:space="preserve"> HYPERLINK \l _Toc30071 </w:instrText>
          </w:r>
          <w:r>
            <w:rPr>
              <w:rFonts w:hint="eastAsia" w:ascii="方正小标宋_GBK" w:hAnsi="方正小标宋_GBK" w:eastAsia="方正小标宋_GBK" w:cs="方正小标宋_GBK"/>
              <w:bCs w:val="0"/>
              <w:szCs w:val="44"/>
              <w:highlight w:val="none"/>
            </w:rPr>
            <w:fldChar w:fldCharType="separate"/>
          </w:r>
          <w:r>
            <w:rPr>
              <w:rFonts w:hint="eastAsia" w:ascii="黑体" w:hAnsi="黑体" w:eastAsia="黑体" w:cs="黑体"/>
              <w:bCs w:val="0"/>
              <w:szCs w:val="32"/>
              <w:highlight w:val="none"/>
              <w:lang w:val="en-US" w:eastAsia="zh-CN"/>
            </w:rPr>
            <w:t>五、鼓励公众参与</w:t>
          </w:r>
          <w:r>
            <w:tab/>
          </w:r>
          <w:r>
            <w:fldChar w:fldCharType="begin"/>
          </w:r>
          <w:r>
            <w:instrText xml:space="preserve"> PAGEREF _Toc30071 \h </w:instrText>
          </w:r>
          <w:r>
            <w:fldChar w:fldCharType="separate"/>
          </w:r>
          <w:r>
            <w:t>- 33 -</w:t>
          </w:r>
          <w:r>
            <w:fldChar w:fldCharType="end"/>
          </w:r>
          <w:r>
            <w:rPr>
              <w:rFonts w:hint="eastAsia" w:ascii="方正小标宋_GBK" w:hAnsi="方正小标宋_GBK" w:eastAsia="方正小标宋_GBK" w:cs="方正小标宋_GBK"/>
              <w:bCs w:val="0"/>
              <w:color w:val="auto"/>
              <w:szCs w:val="44"/>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before="313" w:beforeLines="100" w:line="360" w:lineRule="auto"/>
            <w:ind w:right="0" w:rightChars="0"/>
            <w:jc w:val="center"/>
            <w:textAlignment w:val="auto"/>
            <w:outlineLvl w:val="9"/>
            <w:rPr>
              <w:rFonts w:hint="eastAsia" w:ascii="方正小标宋_GBK" w:hAnsi="方正小标宋_GBK" w:eastAsia="方正小标宋_GBK" w:cs="方正小标宋_GBK"/>
              <w:b w:val="0"/>
              <w:bCs w:val="0"/>
              <w:color w:val="auto"/>
              <w:sz w:val="44"/>
              <w:szCs w:val="44"/>
              <w:highlight w:val="none"/>
            </w:rPr>
          </w:pPr>
          <w:r>
            <w:rPr>
              <w:rFonts w:hint="eastAsia" w:ascii="方正小标宋_GBK" w:hAnsi="方正小标宋_GBK" w:eastAsia="方正小标宋_GBK" w:cs="方正小标宋_GBK"/>
              <w:bCs w:val="0"/>
              <w:color w:val="auto"/>
              <w:szCs w:val="44"/>
              <w:highlight w:val="none"/>
            </w:rPr>
            <w:fldChar w:fldCharType="end"/>
          </w:r>
        </w:p>
      </w:sdtContent>
    </w:sdt>
    <w:p>
      <w:pPr>
        <w:keepNext w:val="0"/>
        <w:keepLines w:val="0"/>
        <w:pageBreakBefore w:val="0"/>
        <w:widowControl w:val="0"/>
        <w:kinsoku/>
        <w:wordWrap/>
        <w:overflowPunct/>
        <w:topLinePunct w:val="0"/>
        <w:autoSpaceDE/>
        <w:autoSpaceDN/>
        <w:bidi w:val="0"/>
        <w:adjustRightInd w:val="0"/>
        <w:snapToGrid w:val="0"/>
        <w:spacing w:before="313" w:beforeLines="100" w:line="360" w:lineRule="auto"/>
        <w:ind w:right="0" w:rightChars="0"/>
        <w:jc w:val="both"/>
        <w:textAlignment w:val="auto"/>
        <w:outlineLvl w:val="9"/>
        <w:rPr>
          <w:rFonts w:hint="eastAsia" w:ascii="方正小标宋_GBK" w:hAnsi="方正小标宋_GBK" w:eastAsia="方正小标宋_GBK" w:cs="方正小标宋_GBK"/>
          <w:b w:val="0"/>
          <w:bCs w:val="0"/>
          <w:color w:val="auto"/>
          <w:sz w:val="44"/>
          <w:szCs w:val="44"/>
          <w:highlight w:val="none"/>
        </w:rPr>
        <w:sectPr>
          <w:footerReference r:id="rId4" w:type="default"/>
          <w:pgSz w:w="11906" w:h="16838"/>
          <w:pgMar w:top="1440" w:right="1800" w:bottom="1440" w:left="1800" w:header="851" w:footer="992" w:gutter="0"/>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before="313" w:beforeLines="100" w:line="560" w:lineRule="exact"/>
        <w:ind w:right="0" w:rightChars="0"/>
        <w:jc w:val="center"/>
        <w:textAlignment w:val="auto"/>
        <w:outlineLvl w:val="0"/>
        <w:rPr>
          <w:rFonts w:hint="eastAsia" w:ascii="方正小标宋_GBK" w:hAnsi="方正小标宋_GBK" w:eastAsia="方正小标宋_GBK" w:cs="方正小标宋_GBK"/>
          <w:b w:val="0"/>
          <w:bCs w:val="0"/>
          <w:color w:val="auto"/>
          <w:sz w:val="44"/>
          <w:szCs w:val="44"/>
          <w:highlight w:val="none"/>
        </w:rPr>
      </w:pPr>
      <w:bookmarkStart w:id="0" w:name="_Toc26913"/>
      <w:bookmarkStart w:id="1" w:name="_Toc16338"/>
      <w:bookmarkStart w:id="2" w:name="_Toc4550"/>
      <w:bookmarkStart w:id="3" w:name="_Toc2242"/>
      <w:bookmarkStart w:id="4" w:name="_Toc4486"/>
      <w:r>
        <w:rPr>
          <w:rFonts w:hint="eastAsia" w:ascii="方正小标宋_GBK" w:hAnsi="方正小标宋_GBK" w:eastAsia="方正小标宋_GBK" w:cs="方正小标宋_GBK"/>
          <w:b w:val="0"/>
          <w:bCs w:val="0"/>
          <w:color w:val="auto"/>
          <w:sz w:val="44"/>
          <w:szCs w:val="44"/>
          <w:highlight w:val="none"/>
          <w:lang w:val="en-US" w:eastAsia="zh-CN"/>
        </w:rPr>
        <w:t>横荷</w:t>
      </w:r>
      <w:r>
        <w:rPr>
          <w:rFonts w:hint="eastAsia" w:ascii="方正小标宋_GBK" w:hAnsi="方正小标宋_GBK" w:eastAsia="方正小标宋_GBK" w:cs="方正小标宋_GBK"/>
          <w:b w:val="0"/>
          <w:bCs w:val="0"/>
          <w:color w:val="auto"/>
          <w:sz w:val="44"/>
          <w:szCs w:val="44"/>
          <w:highlight w:val="none"/>
          <w:lang w:eastAsia="zh-CN"/>
        </w:rPr>
        <w:t>街道</w:t>
      </w:r>
      <w:r>
        <w:rPr>
          <w:rFonts w:hint="eastAsia" w:ascii="方正小标宋_GBK" w:hAnsi="方正小标宋_GBK" w:eastAsia="方正小标宋_GBK" w:cs="方正小标宋_GBK"/>
          <w:b w:val="0"/>
          <w:bCs w:val="0"/>
          <w:color w:val="auto"/>
          <w:sz w:val="44"/>
          <w:szCs w:val="44"/>
          <w:highlight w:val="none"/>
        </w:rPr>
        <w:t>再生资源回收网点规划</w:t>
      </w:r>
      <w:bookmarkEnd w:id="0"/>
      <w:bookmarkEnd w:id="1"/>
      <w:bookmarkEnd w:id="2"/>
      <w:bookmarkEnd w:id="3"/>
      <w:bookmarkEnd w:id="4"/>
    </w:p>
    <w:p>
      <w:pPr>
        <w:keepNext w:val="0"/>
        <w:keepLines w:val="0"/>
        <w:pageBreakBefore w:val="0"/>
        <w:widowControl w:val="0"/>
        <w:kinsoku/>
        <w:wordWrap/>
        <w:overflowPunct/>
        <w:topLinePunct w:val="0"/>
        <w:autoSpaceDE/>
        <w:autoSpaceDN/>
        <w:bidi w:val="0"/>
        <w:adjustRightInd w:val="0"/>
        <w:snapToGrid w:val="0"/>
        <w:spacing w:after="313" w:afterLines="100" w:line="560" w:lineRule="exact"/>
        <w:ind w:right="0" w:rightChars="0"/>
        <w:jc w:val="center"/>
        <w:textAlignment w:val="auto"/>
        <w:outlineLvl w:val="0"/>
        <w:rPr>
          <w:rFonts w:hint="eastAsia" w:ascii="方正小标宋_GBK" w:hAnsi="方正小标宋_GBK" w:eastAsia="方正小标宋_GBK" w:cs="方正小标宋_GBK"/>
          <w:b w:val="0"/>
          <w:bCs w:val="0"/>
          <w:color w:val="auto"/>
          <w:sz w:val="44"/>
          <w:szCs w:val="44"/>
          <w:highlight w:val="none"/>
          <w:lang w:eastAsia="zh-CN"/>
        </w:rPr>
      </w:pPr>
      <w:bookmarkStart w:id="5" w:name="_Toc16488"/>
      <w:bookmarkStart w:id="6" w:name="_Toc6276"/>
      <w:bookmarkStart w:id="7" w:name="_Toc13726"/>
      <w:bookmarkStart w:id="8" w:name="_Toc16707"/>
      <w:bookmarkStart w:id="9" w:name="_Toc28664"/>
      <w:r>
        <w:rPr>
          <w:rFonts w:hint="eastAsia" w:ascii="方正小标宋_GBK" w:hAnsi="方正小标宋_GBK" w:eastAsia="方正小标宋_GBK" w:cs="方正小标宋_GBK"/>
          <w:b w:val="0"/>
          <w:bCs w:val="0"/>
          <w:color w:val="auto"/>
          <w:sz w:val="44"/>
          <w:szCs w:val="44"/>
          <w:highlight w:val="none"/>
          <w:lang w:eastAsia="zh-CN"/>
        </w:rPr>
        <w:t>（</w:t>
      </w:r>
      <w:r>
        <w:rPr>
          <w:rFonts w:hint="eastAsia" w:ascii="方正小标宋_GBK" w:hAnsi="方正小标宋_GBK" w:eastAsia="方正小标宋_GBK" w:cs="方正小标宋_GBK"/>
          <w:b w:val="0"/>
          <w:bCs w:val="0"/>
          <w:color w:val="auto"/>
          <w:sz w:val="44"/>
          <w:szCs w:val="44"/>
          <w:highlight w:val="none"/>
          <w:lang w:val="en-US" w:eastAsia="zh-CN"/>
        </w:rPr>
        <w:t>2025—2029年</w:t>
      </w:r>
      <w:r>
        <w:rPr>
          <w:rFonts w:hint="eastAsia" w:ascii="方正小标宋_GBK" w:hAnsi="方正小标宋_GBK" w:eastAsia="方正小标宋_GBK" w:cs="方正小标宋_GBK"/>
          <w:b w:val="0"/>
          <w:bCs w:val="0"/>
          <w:color w:val="auto"/>
          <w:sz w:val="44"/>
          <w:szCs w:val="44"/>
          <w:highlight w:val="none"/>
          <w:lang w:eastAsia="zh-CN"/>
        </w:rPr>
        <w:t>）</w:t>
      </w:r>
      <w:bookmarkEnd w:id="5"/>
      <w:bookmarkEnd w:id="6"/>
      <w:bookmarkEnd w:id="7"/>
      <w:bookmarkEnd w:id="8"/>
      <w:bookmarkEnd w:id="9"/>
    </w:p>
    <w:p>
      <w:pPr>
        <w:pStyle w:val="2"/>
        <w:keepNext/>
        <w:keepLines/>
        <w:pageBreakBefore w:val="0"/>
        <w:widowControl w:val="0"/>
        <w:kinsoku/>
        <w:wordWrap/>
        <w:overflowPunct/>
        <w:topLinePunct w:val="0"/>
        <w:autoSpaceDE/>
        <w:autoSpaceDN/>
        <w:bidi w:val="0"/>
        <w:adjustRightInd w:val="0"/>
        <w:snapToGrid w:val="0"/>
        <w:spacing w:before="469" w:beforeLines="150" w:after="469" w:afterLines="150" w:line="560" w:lineRule="exact"/>
        <w:ind w:right="0" w:rightChars="0" w:firstLine="0" w:firstLineChars="0"/>
        <w:jc w:val="center"/>
        <w:textAlignment w:val="auto"/>
        <w:outlineLvl w:val="0"/>
        <w:rPr>
          <w:rFonts w:hint="eastAsia" w:ascii="黑体" w:hAnsi="黑体" w:eastAsia="黑体" w:cs="黑体"/>
          <w:b w:val="0"/>
          <w:bCs w:val="0"/>
          <w:color w:val="auto"/>
          <w:sz w:val="32"/>
          <w:szCs w:val="32"/>
          <w:highlight w:val="none"/>
        </w:rPr>
      </w:pPr>
      <w:bookmarkStart w:id="10" w:name="_Toc222911666"/>
      <w:bookmarkStart w:id="11" w:name="_Toc8876"/>
      <w:bookmarkStart w:id="12" w:name="_Toc29279"/>
      <w:bookmarkStart w:id="13" w:name="_Toc14988"/>
      <w:bookmarkStart w:id="14" w:name="_Toc19407"/>
      <w:bookmarkStart w:id="15" w:name="_Toc31039"/>
      <w:bookmarkStart w:id="16" w:name="_Toc11161"/>
      <w:bookmarkStart w:id="17" w:name="_Toc1592"/>
      <w:bookmarkStart w:id="18" w:name="_Toc3919"/>
      <w:bookmarkStart w:id="19" w:name="_Toc20749"/>
      <w:r>
        <w:rPr>
          <w:rFonts w:hint="eastAsia" w:ascii="黑体" w:hAnsi="黑体" w:eastAsia="黑体" w:cs="黑体"/>
          <w:b w:val="0"/>
          <w:bCs w:val="0"/>
          <w:color w:val="auto"/>
          <w:sz w:val="32"/>
          <w:szCs w:val="32"/>
          <w:highlight w:val="none"/>
        </w:rPr>
        <w:t xml:space="preserve">第一章  </w:t>
      </w:r>
      <w:r>
        <w:rPr>
          <w:rFonts w:hint="eastAsia" w:ascii="黑体" w:hAnsi="黑体" w:eastAsia="黑体" w:cs="黑体"/>
          <w:b w:val="0"/>
          <w:bCs w:val="0"/>
          <w:color w:val="auto"/>
          <w:sz w:val="32"/>
          <w:szCs w:val="32"/>
          <w:highlight w:val="none"/>
          <w:lang w:eastAsia="zh-CN"/>
        </w:rPr>
        <w:t>规划</w:t>
      </w:r>
      <w:r>
        <w:rPr>
          <w:rFonts w:hint="eastAsia" w:ascii="黑体" w:hAnsi="黑体" w:eastAsia="黑体" w:cs="黑体"/>
          <w:b w:val="0"/>
          <w:bCs w:val="0"/>
          <w:color w:val="auto"/>
          <w:sz w:val="32"/>
          <w:szCs w:val="32"/>
          <w:highlight w:val="none"/>
        </w:rPr>
        <w:t>总则</w:t>
      </w:r>
      <w:bookmarkEnd w:id="10"/>
      <w:bookmarkEnd w:id="11"/>
      <w:bookmarkEnd w:id="12"/>
      <w:bookmarkEnd w:id="13"/>
      <w:bookmarkEnd w:id="14"/>
      <w:bookmarkEnd w:id="15"/>
      <w:bookmarkEnd w:id="16"/>
      <w:bookmarkEnd w:id="17"/>
      <w:bookmarkEnd w:id="18"/>
      <w:bookmarkEnd w:id="19"/>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kern w:val="44"/>
          <w:sz w:val="32"/>
          <w:szCs w:val="32"/>
          <w:highlight w:val="none"/>
          <w:lang w:val="en-US" w:eastAsia="zh-CN" w:bidi="ar-SA"/>
        </w:rPr>
      </w:pPr>
      <w:bookmarkStart w:id="20" w:name="_Toc29372"/>
      <w:r>
        <w:rPr>
          <w:rFonts w:hint="eastAsia" w:ascii="黑体" w:hAnsi="黑体" w:eastAsia="黑体" w:cs="黑体"/>
          <w:b w:val="0"/>
          <w:bCs w:val="0"/>
          <w:color w:val="auto"/>
          <w:kern w:val="44"/>
          <w:sz w:val="32"/>
          <w:szCs w:val="32"/>
          <w:highlight w:val="none"/>
          <w:lang w:val="en-US" w:eastAsia="zh-CN" w:bidi="ar-SA"/>
        </w:rPr>
        <w:t>一、项目背景</w:t>
      </w:r>
      <w:bookmarkEnd w:id="20"/>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2017年，国务院办公厅转发国家发展改革委、住房城乡建设部《生活垃圾分类制度实施方案》(国办发〔2017〕26号)，提出要健全可回收物回收利用网络，合理布局布点，提高建设标准。建设兼具垃圾分类处理与可回收物回收功能的社区回收网点和中转站，推进垃圾收运系统与可回收物回收处理系统的衔接。</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highlight w:val="none"/>
          <w:lang w:val="en-US" w:eastAsia="zh-CN"/>
        </w:rPr>
        <w:t>2020年，</w:t>
      </w:r>
      <w:r>
        <w:rPr>
          <w:rFonts w:hint="eastAsia" w:ascii="仿宋_GB2312" w:hAnsi="仿宋_GB2312" w:eastAsia="仿宋_GB2312" w:cs="仿宋_GB2312"/>
          <w:color w:val="auto"/>
          <w:sz w:val="32"/>
          <w:szCs w:val="32"/>
          <w:highlight w:val="none"/>
          <w:lang w:val="en-US" w:eastAsia="zh-CN"/>
        </w:rPr>
        <w:t>广东省商务厅等八部门联合发布《关于推进再生资源回收体系建设促进生活垃圾减量化资源化的通知》(粤商务管字〔2020〕29号)，提出从完善再生资源回收体系、推进回收网络进社区、提高低价值可回收物回收率、促进行业规范发展四个方面指导各市推进再生资源回收，有效促进生活垃圾减量化资源化。</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2021年，清远市出台了《清远市可回收物回收处理体系建设规划（2021—2025年）》，提出要持续提升生活垃圾分类和处置能力，推动生活垃圾分类清运网络和再生资源回收网络“两网融合”，推进可回收物资源化利用产业链向规模化、规范化、专业化转变，并建设一批技术水平高、示范性强</w:t>
      </w:r>
      <w:r>
        <w:rPr>
          <w:rFonts w:hint="eastAsia" w:ascii="仿宋_GB2312" w:hAnsi="仿宋_GB2312" w:eastAsia="仿宋_GB2312" w:cs="仿宋_GB2312"/>
          <w:sz w:val="32"/>
          <w:szCs w:val="32"/>
          <w:highlight w:val="none"/>
          <w:lang w:val="en-US" w:eastAsia="zh-CN"/>
        </w:rPr>
        <w:t>的可回收物资源化利用项目。</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2023年，清城区出台了《清远市清城区再生资源回收网点规划（2023—2025年）》，提出要</w:t>
      </w:r>
      <w:r>
        <w:rPr>
          <w:rFonts w:hint="eastAsia" w:ascii="仿宋_GB2312" w:hAnsi="仿宋_GB2312" w:eastAsia="仿宋_GB2312" w:cs="仿宋_GB2312"/>
          <w:sz w:val="32"/>
          <w:szCs w:val="32"/>
          <w:highlight w:val="none"/>
        </w:rPr>
        <w:t>统一规划、合理布局再生资源回收网点，确保</w:t>
      </w:r>
      <w:r>
        <w:rPr>
          <w:rFonts w:hint="eastAsia" w:ascii="仿宋_GB2312" w:hAnsi="仿宋_GB2312" w:eastAsia="仿宋_GB2312" w:cs="仿宋_GB2312"/>
          <w:sz w:val="32"/>
          <w:szCs w:val="32"/>
          <w:highlight w:val="none"/>
          <w:lang w:val="en-US" w:eastAsia="zh-CN"/>
        </w:rPr>
        <w:t>再生资源</w:t>
      </w:r>
      <w:r>
        <w:rPr>
          <w:rFonts w:hint="eastAsia" w:ascii="仿宋_GB2312" w:hAnsi="仿宋_GB2312" w:eastAsia="仿宋_GB2312" w:cs="仿宋_GB2312"/>
          <w:sz w:val="32"/>
          <w:szCs w:val="32"/>
          <w:highlight w:val="none"/>
        </w:rPr>
        <w:t>应收尽收、精准回收、高效利用、科学处置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为</w:t>
      </w:r>
      <w:r>
        <w:rPr>
          <w:rFonts w:hint="eastAsia" w:ascii="仿宋_GB2312" w:hAnsi="仿宋_GB2312" w:eastAsia="仿宋_GB2312" w:cs="仿宋_GB2312"/>
          <w:sz w:val="32"/>
          <w:szCs w:val="32"/>
          <w:highlight w:val="none"/>
        </w:rPr>
        <w:t>加快建立分类投放、分类收集、分类运输、分类处理的垃圾处理系统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构建城市再生资源回收体系奠定坚实的基础。</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21" w:name="_Toc12694"/>
      <w:bookmarkStart w:id="22" w:name="_Toc31857"/>
      <w:bookmarkStart w:id="23" w:name="_Toc20488"/>
      <w:bookmarkStart w:id="24" w:name="_Toc9846"/>
      <w:r>
        <w:rPr>
          <w:rFonts w:hint="eastAsia" w:ascii="黑体" w:hAnsi="黑体" w:eastAsia="黑体" w:cs="黑体"/>
          <w:b w:val="0"/>
          <w:bCs w:val="0"/>
          <w:color w:val="auto"/>
          <w:sz w:val="32"/>
          <w:szCs w:val="32"/>
          <w:highlight w:val="none"/>
          <w:lang w:val="en-US" w:eastAsia="zh-CN"/>
        </w:rPr>
        <w:t>二、规划</w:t>
      </w:r>
      <w:bookmarkEnd w:id="21"/>
      <w:bookmarkEnd w:id="22"/>
      <w:bookmarkEnd w:id="23"/>
      <w:r>
        <w:rPr>
          <w:rFonts w:hint="eastAsia" w:ascii="黑体" w:hAnsi="黑体" w:eastAsia="黑体" w:cs="黑体"/>
          <w:b w:val="0"/>
          <w:bCs w:val="0"/>
          <w:color w:val="auto"/>
          <w:sz w:val="32"/>
          <w:szCs w:val="32"/>
          <w:highlight w:val="none"/>
          <w:lang w:val="en-US" w:eastAsia="zh-CN"/>
        </w:rPr>
        <w:t>对象、规划范围与期限</w:t>
      </w:r>
      <w:bookmarkEnd w:id="24"/>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bookmarkStart w:id="25" w:name="_Toc21342"/>
      <w:bookmarkStart w:id="26" w:name="_Toc27523"/>
      <w:bookmarkStart w:id="27" w:name="_Toc1945"/>
      <w:bookmarkStart w:id="28" w:name="_Toc23523"/>
      <w:bookmarkStart w:id="29" w:name="_Toc22557"/>
      <w:bookmarkStart w:id="30" w:name="_Toc21440"/>
      <w:bookmarkStart w:id="31" w:name="_Toc979"/>
      <w:bookmarkStart w:id="32" w:name="_Toc1821"/>
      <w:r>
        <w:rPr>
          <w:rFonts w:hint="eastAsia" w:ascii="楷体_GB2312" w:hAnsi="楷体_GB2312" w:eastAsia="楷体_GB2312" w:cs="楷体_GB2312"/>
          <w:b w:val="0"/>
          <w:bCs w:val="0"/>
          <w:color w:val="auto"/>
          <w:sz w:val="32"/>
          <w:szCs w:val="32"/>
          <w:highlight w:val="none"/>
          <w:lang w:val="en-US" w:eastAsia="zh-CN"/>
        </w:rPr>
        <w:t>（一）</w:t>
      </w:r>
      <w:bookmarkEnd w:id="25"/>
      <w:bookmarkEnd w:id="26"/>
      <w:bookmarkEnd w:id="27"/>
      <w:bookmarkEnd w:id="28"/>
      <w:bookmarkEnd w:id="29"/>
      <w:bookmarkEnd w:id="30"/>
      <w:bookmarkEnd w:id="31"/>
      <w:bookmarkEnd w:id="32"/>
      <w:r>
        <w:rPr>
          <w:rFonts w:hint="eastAsia" w:ascii="楷体_GB2312" w:hAnsi="楷体_GB2312" w:eastAsia="楷体_GB2312" w:cs="楷体_GB2312"/>
          <w:b w:val="0"/>
          <w:bCs w:val="0"/>
          <w:color w:val="auto"/>
          <w:sz w:val="32"/>
          <w:szCs w:val="32"/>
          <w:highlight w:val="none"/>
          <w:lang w:val="en-US" w:eastAsia="zh-CN"/>
        </w:rPr>
        <w:t>规划对象</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包括横荷街道</w:t>
      </w:r>
      <w:r>
        <w:rPr>
          <w:rFonts w:hint="eastAsia" w:ascii="仿宋" w:hAnsi="仿宋" w:eastAsia="仿宋" w:cs="仿宋"/>
          <w:color w:val="auto"/>
          <w:spacing w:val="9"/>
          <w:sz w:val="31"/>
          <w:szCs w:val="31"/>
          <w:lang w:val="en-US" w:eastAsia="zh-CN"/>
        </w:rPr>
        <w:t>6</w:t>
      </w:r>
      <w:r>
        <w:rPr>
          <w:rFonts w:hint="eastAsia" w:ascii="仿宋" w:hAnsi="仿宋" w:eastAsia="仿宋" w:cs="仿宋"/>
          <w:color w:val="auto"/>
          <w:spacing w:val="9"/>
          <w:sz w:val="31"/>
          <w:szCs w:val="31"/>
        </w:rPr>
        <w:t>个社区居委会和</w:t>
      </w:r>
      <w:r>
        <w:rPr>
          <w:rFonts w:hint="eastAsia" w:ascii="仿宋" w:hAnsi="仿宋" w:eastAsia="仿宋" w:cs="仿宋"/>
          <w:color w:val="auto"/>
          <w:spacing w:val="9"/>
          <w:sz w:val="31"/>
          <w:szCs w:val="31"/>
          <w:lang w:val="en-US" w:eastAsia="zh-CN"/>
        </w:rPr>
        <w:t>6</w:t>
      </w:r>
      <w:r>
        <w:rPr>
          <w:rFonts w:hint="eastAsia" w:ascii="仿宋" w:hAnsi="仿宋" w:eastAsia="仿宋" w:cs="仿宋"/>
          <w:color w:val="auto"/>
          <w:spacing w:val="9"/>
          <w:sz w:val="31"/>
          <w:szCs w:val="31"/>
        </w:rPr>
        <w:t>个村委会</w:t>
      </w:r>
      <w:r>
        <w:rPr>
          <w:rFonts w:hint="eastAsia" w:ascii="仿宋_GB2312" w:hAnsi="仿宋_GB2312" w:eastAsia="仿宋_GB2312" w:cs="仿宋_GB2312"/>
          <w:color w:val="auto"/>
          <w:sz w:val="32"/>
          <w:szCs w:val="32"/>
          <w:highlight w:val="none"/>
          <w:lang w:val="en-US" w:eastAsia="zh-CN"/>
        </w:rPr>
        <w:t>范围内</w:t>
      </w:r>
      <w:r>
        <w:rPr>
          <w:rFonts w:hint="eastAsia" w:ascii="仿宋_GB2312" w:hAnsi="仿宋_GB2312" w:eastAsia="仿宋_GB2312" w:cs="仿宋_GB2312"/>
          <w:color w:val="auto"/>
          <w:sz w:val="32"/>
          <w:szCs w:val="32"/>
          <w:highlight w:val="none"/>
        </w:rPr>
        <w:t>收集、转运、分拣、交易以及回收利用等过程中可回收物停留的各类场所，包括</w:t>
      </w:r>
      <w:r>
        <w:rPr>
          <w:rFonts w:hint="eastAsia" w:ascii="仿宋_GB2312" w:hAnsi="仿宋_GB2312" w:eastAsia="仿宋_GB2312" w:cs="仿宋_GB2312"/>
          <w:color w:val="auto"/>
          <w:sz w:val="32"/>
          <w:szCs w:val="32"/>
          <w:highlight w:val="none"/>
          <w:lang w:eastAsia="zh-CN"/>
        </w:rPr>
        <w:t>社区回收网点</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中转站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分拣中心</w:t>
      </w:r>
      <w:r>
        <w:rPr>
          <w:rFonts w:hint="eastAsia" w:ascii="仿宋_GB2312" w:hAnsi="仿宋_GB2312" w:eastAsia="仿宋_GB2312" w:cs="仿宋_GB2312"/>
          <w:color w:val="auto"/>
          <w:sz w:val="32"/>
          <w:szCs w:val="32"/>
          <w:highlight w:val="none"/>
          <w:lang w:val="en-US" w:eastAsia="zh-CN"/>
        </w:rPr>
        <w:t>等</w:t>
      </w:r>
      <w:r>
        <w:rPr>
          <w:rFonts w:hint="eastAsia" w:ascii="仿宋_GB2312" w:hAnsi="仿宋_GB2312" w:eastAsia="仿宋_GB2312" w:cs="仿宋_GB2312"/>
          <w:color w:val="auto"/>
          <w:sz w:val="32"/>
          <w:szCs w:val="32"/>
          <w:highlight w:val="none"/>
        </w:rPr>
        <w:t>。</w:t>
      </w:r>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（二）规划范围与期限</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针对</w:t>
      </w:r>
      <w:r>
        <w:rPr>
          <w:rFonts w:hint="eastAsia" w:ascii="仿宋_GB2312" w:hAnsi="仿宋_GB2312" w:eastAsia="仿宋_GB2312" w:cs="仿宋_GB2312"/>
          <w:color w:val="auto"/>
          <w:sz w:val="32"/>
          <w:szCs w:val="32"/>
          <w:highlight w:val="none"/>
          <w:lang w:eastAsia="zh-CN"/>
        </w:rPr>
        <w:t>横荷</w:t>
      </w:r>
      <w:r>
        <w:rPr>
          <w:rFonts w:hint="eastAsia" w:ascii="仿宋_GB2312" w:hAnsi="仿宋_GB2312" w:eastAsia="仿宋_GB2312" w:cs="仿宋_GB2312"/>
          <w:color w:val="auto"/>
          <w:sz w:val="32"/>
          <w:szCs w:val="32"/>
          <w:highlight w:val="none"/>
        </w:rPr>
        <w:t>街道</w:t>
      </w:r>
      <w:r>
        <w:rPr>
          <w:rFonts w:hint="eastAsia" w:ascii="仿宋_GB2312" w:hAnsi="仿宋_GB2312" w:eastAsia="仿宋_GB2312" w:cs="仿宋_GB2312"/>
          <w:color w:val="auto"/>
          <w:sz w:val="32"/>
          <w:szCs w:val="32"/>
          <w:highlight w:val="none"/>
          <w:lang w:val="en-US" w:eastAsia="zh-CN"/>
        </w:rPr>
        <w:t>辖区范围内生活环节产生的再生资源，</w:t>
      </w:r>
      <w:r>
        <w:rPr>
          <w:rFonts w:hint="eastAsia" w:ascii="仿宋_GB2312" w:hAnsi="仿宋_GB2312" w:eastAsia="仿宋_GB2312" w:cs="仿宋_GB2312"/>
          <w:color w:val="auto"/>
          <w:sz w:val="32"/>
          <w:szCs w:val="32"/>
          <w:highlight w:val="none"/>
        </w:rPr>
        <w:t>规划范围</w:t>
      </w:r>
      <w:r>
        <w:rPr>
          <w:rFonts w:hint="eastAsia" w:ascii="仿宋_GB2312" w:hAnsi="仿宋_GB2312" w:eastAsia="仿宋_GB2312" w:cs="仿宋_GB2312"/>
          <w:color w:val="auto"/>
          <w:sz w:val="32"/>
          <w:szCs w:val="32"/>
          <w:highlight w:val="none"/>
          <w:lang w:val="en-US" w:eastAsia="zh-CN"/>
        </w:rPr>
        <w:t>为</w:t>
      </w:r>
      <w:r>
        <w:rPr>
          <w:rFonts w:hint="eastAsia" w:ascii="仿宋_GB2312" w:hAnsi="仿宋_GB2312" w:eastAsia="仿宋_GB2312" w:cs="仿宋_GB2312"/>
          <w:color w:val="auto"/>
          <w:sz w:val="32"/>
          <w:szCs w:val="32"/>
          <w:highlight w:val="none"/>
        </w:rPr>
        <w:t>清城区</w:t>
      </w:r>
      <w:r>
        <w:rPr>
          <w:rFonts w:hint="eastAsia" w:ascii="仿宋_GB2312" w:hAnsi="仿宋_GB2312" w:eastAsia="仿宋_GB2312" w:cs="仿宋_GB2312"/>
          <w:color w:val="auto"/>
          <w:sz w:val="32"/>
          <w:szCs w:val="32"/>
          <w:highlight w:val="none"/>
          <w:lang w:val="en-US" w:eastAsia="zh-CN"/>
        </w:rPr>
        <w:t>横荷</w:t>
      </w:r>
      <w:r>
        <w:rPr>
          <w:rFonts w:hint="eastAsia" w:ascii="仿宋_GB2312" w:hAnsi="仿宋_GB2312" w:eastAsia="仿宋_GB2312" w:cs="仿宋_GB2312"/>
          <w:color w:val="auto"/>
          <w:sz w:val="32"/>
          <w:szCs w:val="32"/>
          <w:highlight w:val="none"/>
        </w:rPr>
        <w:t>街道</w:t>
      </w:r>
      <w:r>
        <w:rPr>
          <w:rFonts w:hint="eastAsia" w:ascii="仿宋" w:hAnsi="仿宋" w:eastAsia="仿宋" w:cs="仿宋"/>
          <w:color w:val="auto"/>
          <w:spacing w:val="9"/>
          <w:sz w:val="31"/>
          <w:szCs w:val="31"/>
          <w:lang w:val="en-US" w:eastAsia="zh-CN"/>
        </w:rPr>
        <w:t>6</w:t>
      </w:r>
      <w:r>
        <w:rPr>
          <w:rFonts w:hint="eastAsia" w:ascii="仿宋" w:hAnsi="仿宋" w:eastAsia="仿宋" w:cs="仿宋"/>
          <w:color w:val="auto"/>
          <w:spacing w:val="9"/>
          <w:sz w:val="31"/>
          <w:szCs w:val="31"/>
        </w:rPr>
        <w:t>个社区居委会和</w:t>
      </w:r>
      <w:r>
        <w:rPr>
          <w:rFonts w:hint="eastAsia" w:ascii="仿宋" w:hAnsi="仿宋" w:eastAsia="仿宋" w:cs="仿宋"/>
          <w:color w:val="auto"/>
          <w:spacing w:val="9"/>
          <w:sz w:val="31"/>
          <w:szCs w:val="31"/>
          <w:lang w:val="en-US" w:eastAsia="zh-CN"/>
        </w:rPr>
        <w:t>6</w:t>
      </w:r>
      <w:r>
        <w:rPr>
          <w:rFonts w:hint="eastAsia" w:ascii="仿宋" w:hAnsi="仿宋" w:eastAsia="仿宋" w:cs="仿宋"/>
          <w:color w:val="auto"/>
          <w:spacing w:val="9"/>
          <w:sz w:val="31"/>
          <w:szCs w:val="31"/>
        </w:rPr>
        <w:t>个村委会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规范再生资源的收集、分类、分拣、运输、回收全流程。</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本次规划期限为：2025-2029年。</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33" w:name="_Toc9015"/>
      <w:bookmarkStart w:id="34" w:name="_Toc19111"/>
      <w:bookmarkStart w:id="35" w:name="_Toc11680"/>
      <w:bookmarkStart w:id="36" w:name="_Toc18999"/>
      <w:r>
        <w:rPr>
          <w:rFonts w:hint="eastAsia" w:ascii="黑体" w:hAnsi="黑体" w:eastAsia="黑体" w:cs="黑体"/>
          <w:b w:val="0"/>
          <w:bCs w:val="0"/>
          <w:color w:val="auto"/>
          <w:sz w:val="32"/>
          <w:szCs w:val="32"/>
          <w:highlight w:val="none"/>
          <w:lang w:val="en-US" w:eastAsia="zh-CN"/>
        </w:rPr>
        <w:t>三、规划</w:t>
      </w:r>
      <w:bookmarkEnd w:id="33"/>
      <w:bookmarkEnd w:id="34"/>
      <w:bookmarkEnd w:id="35"/>
      <w:r>
        <w:rPr>
          <w:rFonts w:hint="eastAsia" w:ascii="黑体" w:hAnsi="黑体" w:eastAsia="黑体" w:cs="黑体"/>
          <w:b w:val="0"/>
          <w:bCs w:val="0"/>
          <w:color w:val="auto"/>
          <w:sz w:val="32"/>
          <w:szCs w:val="32"/>
          <w:highlight w:val="none"/>
          <w:lang w:val="en-US" w:eastAsia="zh-CN"/>
        </w:rPr>
        <w:t>依据</w:t>
      </w:r>
      <w:bookmarkEnd w:id="36"/>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bookmarkStart w:id="37" w:name="_Toc10391"/>
      <w:r>
        <w:rPr>
          <w:rFonts w:hint="eastAsia" w:ascii="楷体_GB2312" w:hAnsi="楷体_GB2312" w:eastAsia="楷体_GB2312" w:cs="楷体_GB2312"/>
          <w:b w:val="0"/>
          <w:bCs w:val="0"/>
          <w:color w:val="auto"/>
          <w:sz w:val="32"/>
          <w:szCs w:val="32"/>
          <w:highlight w:val="none"/>
          <w:lang w:val="en-US" w:eastAsia="zh-CN"/>
        </w:rPr>
        <w:t>（一）国家法律、法规及相关文件</w:t>
      </w:r>
      <w:bookmarkEnd w:id="37"/>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1.《住房城乡建设部关于加快推进部分重点城市生活垃圾分类工作的通知》</w:t>
      </w:r>
      <w:r>
        <w:rPr>
          <w:rFonts w:hint="eastAsia" w:ascii="仿宋_GB2312" w:hAnsi="仿宋_GB2312" w:eastAsia="仿宋_GB2312" w:cs="仿宋_GB2312"/>
          <w:sz w:val="32"/>
          <w:szCs w:val="32"/>
          <w:highlight w:val="none"/>
        </w:rPr>
        <w:t>（建城〔2017〕253号）——2017年12月20日，住房城乡建设部印发</w:t>
      </w:r>
      <w:r>
        <w:rPr>
          <w:rFonts w:hint="eastAsia" w:ascii="仿宋_GB2312" w:hAnsi="仿宋_GB2312" w:eastAsia="仿宋_GB2312" w:cs="仿宋_GB2312"/>
          <w:sz w:val="32"/>
          <w:szCs w:val="32"/>
          <w:highlight w:val="none"/>
          <w:lang w:eastAsia="zh-CN"/>
        </w:rPr>
        <w:t>；</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2.《关于推进资源循环利用基地建设的指导意见》</w:t>
      </w:r>
      <w:r>
        <w:rPr>
          <w:rFonts w:hint="eastAsia" w:ascii="仿宋_GB2312" w:hAnsi="仿宋_GB2312" w:eastAsia="仿宋_GB2312" w:cs="仿宋_GB2312"/>
          <w:sz w:val="32"/>
          <w:szCs w:val="32"/>
          <w:highlight w:val="none"/>
        </w:rPr>
        <w:t>——2017年10月29日，国家发展改革委办公厅、财政部办公厅、住房城乡建设部办公厅联合印发；</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3.《国务院办公厅关于转发国家发展改革委住房城乡建设部生活垃圾分类制度实施方案的通知》</w:t>
      </w:r>
      <w:r>
        <w:rPr>
          <w:rFonts w:hint="eastAsia" w:ascii="仿宋_GB2312" w:hAnsi="仿宋_GB2312" w:eastAsia="仿宋_GB2312" w:cs="仿宋_GB2312"/>
          <w:sz w:val="32"/>
          <w:szCs w:val="32"/>
          <w:highlight w:val="none"/>
        </w:rPr>
        <w:t>（国办发〔2017〕26号）——2017年3月18日，国务院办公厅印发；</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4.《关于推进再生资源回收行业转型升级的意见》（商流通函〔2016〕206号）——2016年5月5日，商务部、国家发展改革委、工业和信息化部、环境保护部、住房城乡建设部、供销合作总社等六部门联合印发；</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关于印发〈再生资源回收体系建设中长期规划（2015-2020）〉的通知》（商流通发〔2015〕21号）——2015年1月21日，商务部、国家发展改革委、国土资源部、住房城乡建设部、中华全国供销合作总社等5部门联合印发；</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6.《中华人民共和国环境保护法》（中华人民共和国主席令第九号）——2014年4月24日第十二届全国人民代表大会常务委员会第八次会议修订通过并公布，自2015年1月1日起施行；</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7.《中华人民共和国清洁生产促进法》（中华人民共和国主席令第五十四号）——2012年2月29日第十一届全国人民代表大会常务委员会第二十五次会议修改通过并公布，自2012年7月1日起施行；</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8.《中华人民共和国循环经济促进法》（中华人民共和国主席令第四号）——2008年8月29日第十一届全国人民代表大会常务委员会第四次会议通过，自2009年1月1日起施行；</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9.《中华人民共和国城乡规划法》（中华人民共和国主席令第七十四号）——2007年10月28日第十届全国人民代表大会常务委员会第三十次会议通过，自2008年1月1日起施行；</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10.《再生资源回收管理办法》（中华人民共和国商务部、中华人民共和国国家发展和改革委员会、中华人民共和国公安部、中华人民共和国住房和城乡建设部、中华人民共和国国家市场监督管理总局、中华人民共和国国家环境保护总局令2007年第8号）——2007年3月27日发布，自2007年5月1日起施行；商务部令2019年第1号《商务部关于废止和修改部分规章的决定》于2019年发布并实施；</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11.《再生资源回收利用网络规范（GH/T1093-2014）》——2014年10月27日发布，自2014年12月1日实施，中华全国供销合作总社印发；</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12.《再生资源回收站点建设管理规范（SB/T10719-2012）》——2012年8月1日发布，2012年11月1日实施，商务部印发；</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《再生资源绿色分拣中心建设管理规范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SB/T10720-2021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》——2021年1月6日发布，2021年5月1日实施，商务部印发；</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《区域性大型再生资源回收利用基地建设管理规范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SB/T10850-2012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中华人民共和国商务部公告2013年第1号）——2013年1月4日发布，2013年7月1日施行，商务部印发。</w:t>
      </w:r>
      <w:bookmarkStart w:id="38" w:name="_Toc25698"/>
      <w:bookmarkStart w:id="39" w:name="_Toc11926"/>
      <w:bookmarkStart w:id="40" w:name="_Toc29672"/>
      <w:bookmarkStart w:id="41" w:name="_Toc15266"/>
      <w:bookmarkStart w:id="42" w:name="_Toc7004"/>
      <w:bookmarkStart w:id="43" w:name="_Toc26369"/>
      <w:bookmarkStart w:id="44" w:name="_Toc12052"/>
      <w:bookmarkStart w:id="45" w:name="_Toc13532"/>
      <w:bookmarkStart w:id="46" w:name="_Toc30678"/>
      <w:bookmarkStart w:id="47" w:name="_Toc18912"/>
      <w:bookmarkStart w:id="48" w:name="_Toc8324"/>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bookmarkStart w:id="49" w:name="_Toc6220"/>
      <w:bookmarkStart w:id="50" w:name="_Toc24465"/>
      <w:r>
        <w:rPr>
          <w:rFonts w:hint="eastAsia" w:ascii="楷体_GB2312" w:hAnsi="楷体_GB2312" w:eastAsia="楷体_GB2312" w:cs="楷体_GB2312"/>
          <w:b w:val="0"/>
          <w:bCs w:val="0"/>
          <w:color w:val="auto"/>
          <w:sz w:val="32"/>
          <w:szCs w:val="32"/>
          <w:highlight w:val="none"/>
          <w:lang w:val="en-US" w:eastAsia="zh-CN"/>
        </w:rPr>
        <w:t>（二）广东省相关法规、文件、规划</w:t>
      </w:r>
      <w:bookmarkEnd w:id="38"/>
      <w:bookmarkEnd w:id="39"/>
      <w:bookmarkEnd w:id="40"/>
      <w:bookmarkEnd w:id="41"/>
      <w:bookmarkEnd w:id="42"/>
      <w:bookmarkEnd w:id="43"/>
      <w:bookmarkEnd w:id="44"/>
      <w:bookmarkEnd w:id="45"/>
      <w:bookmarkEnd w:id="46"/>
      <w:bookmarkEnd w:id="47"/>
      <w:bookmarkEnd w:id="48"/>
      <w:bookmarkEnd w:id="49"/>
      <w:bookmarkEnd w:id="50"/>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《广东省农村生活垃圾分类处理指引》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粤建城〔2017〕71号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——2017年3月24</w:t>
      </w:r>
      <w:r>
        <w:rPr>
          <w:rFonts w:hint="eastAsia" w:ascii="仿宋_GB2312" w:hAnsi="仿宋_GB2312" w:eastAsia="仿宋_GB2312" w:cs="仿宋_GB2312"/>
          <w:sz w:val="32"/>
          <w:szCs w:val="32"/>
          <w:highlight w:val="none"/>
          <w:lang w:val="en-US" w:eastAsia="zh-CN"/>
        </w:rPr>
        <w:t>日</w:t>
      </w:r>
      <w:r>
        <w:rPr>
          <w:rFonts w:hint="eastAsia" w:ascii="仿宋_GB2312" w:hAnsi="仿宋_GB2312" w:eastAsia="仿宋_GB2312" w:cs="仿宋_GB2312"/>
          <w:sz w:val="32"/>
          <w:szCs w:val="32"/>
          <w:highlight w:val="none"/>
        </w:rPr>
        <w:t>，广东省住房和城乡建设厅印发；</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《广东省固体废物污染环境防治条例》</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广东省第十三届人民代表大会常务委员会公告（第18号）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——2018年12月29日广东省第十三届人民代表大会常务委员会第七次会议修订通过，自2019年3月1日起施行；</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《广东省再生资源回收行业发展规划</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2010</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2020年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》（粤经信商贸函〔2010〕3328号）——2010年12月10日，广东省经济和信息化委员会印发；</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《关于促进再生资源产业健康发展的意见》（粤府办</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2010</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9号）——2010年2月24日，广东省经济和信息化委员会印发；</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《广东省打好污染防治攻坚战三年行动计划（2018</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2020年）》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粤办发〔2018〕29号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——2018年6月30日，中共广东省委办公厅、广东省人民政府办公厅印发</w:t>
      </w:r>
      <w:r>
        <w:rPr>
          <w:rFonts w:hint="eastAsia" w:ascii="仿宋_GB2312" w:hAnsi="仿宋_GB2312" w:eastAsia="仿宋_GB2312" w:cs="仿宋_GB2312"/>
          <w:sz w:val="32"/>
          <w:szCs w:val="32"/>
          <w:highlight w:val="none"/>
          <w:lang w:eastAsia="zh-CN"/>
        </w:rPr>
        <w:t>；</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《广东省环境保护厅关于固体废物污染防治三年行动计划（2018—2020年）》（粤环发〔2018〕5号）——2018年4月27日印发，自2018年6月1日起实施，广东省</w:t>
      </w:r>
      <w:r>
        <w:rPr>
          <w:rFonts w:hint="eastAsia" w:ascii="仿宋_GB2312" w:hAnsi="仿宋_GB2312" w:eastAsia="仿宋_GB2312" w:cs="仿宋_GB2312"/>
          <w:sz w:val="32"/>
          <w:szCs w:val="32"/>
          <w:highlight w:val="none"/>
          <w:lang w:val="en-US" w:eastAsia="zh-CN"/>
        </w:rPr>
        <w:t>生态</w:t>
      </w:r>
      <w:r>
        <w:rPr>
          <w:rFonts w:hint="eastAsia" w:ascii="仿宋_GB2312" w:hAnsi="仿宋_GB2312" w:eastAsia="仿宋_GB2312" w:cs="仿宋_GB2312"/>
          <w:sz w:val="32"/>
          <w:szCs w:val="32"/>
          <w:highlight w:val="none"/>
        </w:rPr>
        <w:t>环境厅</w:t>
      </w:r>
      <w:r>
        <w:rPr>
          <w:rFonts w:hint="eastAsia" w:ascii="仿宋_GB2312" w:hAnsi="仿宋_GB2312" w:eastAsia="仿宋_GB2312" w:cs="仿宋_GB2312"/>
          <w:sz w:val="32"/>
          <w:szCs w:val="32"/>
          <w:highlight w:val="none"/>
          <w:lang w:val="en-US" w:eastAsia="zh-CN"/>
        </w:rPr>
        <w:t>印发</w:t>
      </w:r>
      <w:r>
        <w:rPr>
          <w:rFonts w:hint="eastAsia" w:ascii="仿宋_GB2312" w:hAnsi="仿宋_GB2312" w:eastAsia="仿宋_GB2312" w:cs="仿宋_GB2312"/>
          <w:sz w:val="32"/>
          <w:szCs w:val="32"/>
          <w:highlight w:val="none"/>
        </w:rPr>
        <w:t>；</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《广东省打赢蓝天保卫战实施方案（2018</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2020年）》（粤府〔2018〕128号）——2019年1月12日发布，广东省人民政府印发；  </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广东省城乡生活垃圾管理条例》（广东省第十三届人民代表大会常务委员会（第75号））——2020年11月27日，广东省第十三届人民代表大会常委会第二十六次会议修订通过，自2021年1月1日起施行，广东省人民代表大会常务委员会</w:t>
      </w:r>
      <w:r>
        <w:rPr>
          <w:rFonts w:hint="eastAsia" w:ascii="仿宋_GB2312" w:hAnsi="仿宋_GB2312" w:eastAsia="仿宋_GB2312" w:cs="仿宋_GB2312"/>
          <w:sz w:val="32"/>
          <w:szCs w:val="32"/>
          <w:highlight w:val="none"/>
          <w:lang w:val="en-US" w:eastAsia="zh-CN"/>
        </w:rPr>
        <w:t>印发</w:t>
      </w:r>
      <w:r>
        <w:rPr>
          <w:rFonts w:hint="eastAsia" w:ascii="仿宋_GB2312" w:hAnsi="仿宋_GB2312" w:eastAsia="仿宋_GB2312" w:cs="仿宋_GB2312"/>
          <w:sz w:val="32"/>
          <w:szCs w:val="32"/>
          <w:highlight w:val="none"/>
        </w:rPr>
        <w:t>；</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9.</w:t>
      </w:r>
      <w:r>
        <w:rPr>
          <w:rFonts w:hint="eastAsia" w:ascii="仿宋_GB2312" w:hAnsi="仿宋_GB2312" w:eastAsia="仿宋_GB2312" w:cs="仿宋_GB2312"/>
          <w:sz w:val="32"/>
          <w:szCs w:val="32"/>
          <w:highlight w:val="none"/>
        </w:rPr>
        <w:t>《关于推进再生资源回收体系建设 促进生活垃圾减量化资源化的通知》（粤商务管字〔2020〕29号）——2020年12月16日发文，广东省商务厅、广东省发展和改革委员会、广东省工业和信息化厅、广东省财政厅、广东省自然资源厅、广东省住房和城乡建设厅、广东省农业农村厅、广东省供销合作联社等八部门联合印发。</w:t>
      </w:r>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bookmarkStart w:id="51" w:name="_Toc1441"/>
      <w:bookmarkStart w:id="52" w:name="_Toc29180"/>
      <w:bookmarkStart w:id="53" w:name="_Toc5906"/>
      <w:bookmarkStart w:id="54" w:name="_Toc5670"/>
      <w:bookmarkStart w:id="55" w:name="_Toc5935"/>
      <w:bookmarkStart w:id="56" w:name="_Toc9468"/>
      <w:bookmarkStart w:id="57" w:name="_Toc18515"/>
      <w:bookmarkStart w:id="58" w:name="_Toc19101"/>
      <w:bookmarkStart w:id="59" w:name="_Toc29391"/>
      <w:bookmarkStart w:id="60" w:name="_Toc6432"/>
      <w:bookmarkStart w:id="61" w:name="_Toc29353"/>
      <w:bookmarkStart w:id="62" w:name="_Toc12766"/>
      <w:bookmarkStart w:id="63" w:name="_Toc4696"/>
      <w:r>
        <w:rPr>
          <w:rFonts w:hint="eastAsia" w:ascii="楷体_GB2312" w:hAnsi="楷体_GB2312" w:eastAsia="楷体_GB2312" w:cs="楷体_GB2312"/>
          <w:b w:val="0"/>
          <w:bCs w:val="0"/>
          <w:color w:val="auto"/>
          <w:sz w:val="32"/>
          <w:szCs w:val="32"/>
          <w:highlight w:val="none"/>
          <w:lang w:val="en-US" w:eastAsia="zh-CN"/>
        </w:rPr>
        <w:t>（三）清远市相关法规、文件、规划</w:t>
      </w:r>
      <w:bookmarkEnd w:id="51"/>
      <w:bookmarkEnd w:id="52"/>
      <w:bookmarkEnd w:id="53"/>
      <w:bookmarkEnd w:id="54"/>
      <w:bookmarkEnd w:id="55"/>
      <w:bookmarkEnd w:id="56"/>
      <w:bookmarkEnd w:id="57"/>
      <w:bookmarkEnd w:id="58"/>
      <w:bookmarkEnd w:id="59"/>
      <w:bookmarkEnd w:id="60"/>
      <w:bookmarkEnd w:id="61"/>
      <w:bookmarkEnd w:id="62"/>
      <w:bookmarkEnd w:id="63"/>
    </w:p>
    <w:p>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《清远市生活垃圾分类三年行动方案</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2019-2021</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》——2019年7月22日，清远市城市管理和综合执法局印发；</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《清远市城市生活垃圾分类实施方案》（清府办〔2020〕18号）——2020年4月27日，清远市人民政府办公室印发；</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《清远市城市市容和环境卫生管理条例》——2017年11月1日清远市第七届人民代表大会常务委员会第六次会议通过</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2017年11月30日广东省第十二届人民代表大会常务委员会第三十七次会议批准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根据2018年12月27日清远市第七届人民代表大会常务委员会第二十一次会议通过</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2019年3月28日广东省第十三届人民代表大会常务委员会第十一次会议批准的《清远市人民代表大会常务委员会关于修改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清远市饮用水源水质保护条例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清远市城市市容和环境卫生管理条例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的决定》修正，自2018年1月1日起施行；</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《清远市城市生活垃圾管理条例》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清远市第七届人民代表大会常务委员会公告（第28号）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 2021年4月28日于清远市第七届人民代表大会常务委员会第四十九次会议通过，2021年5月26日于广东省第十三届人民代表大会常务委员会第三十二次会议批准，自2021年9月1日起施行，清远市人民代表大会常务委员会印发；</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《清远市“三线一单”生态环境分区管控方案》（</w:t>
      </w:r>
      <w:r>
        <w:rPr>
          <w:rFonts w:hint="eastAsia" w:ascii="仿宋_GB2312" w:hAnsi="仿宋_GB2312" w:eastAsia="仿宋_GB2312" w:cs="仿宋_GB2312"/>
          <w:color w:val="auto"/>
          <w:sz w:val="32"/>
          <w:szCs w:val="32"/>
          <w:highlight w:val="none"/>
          <w:lang w:val="en-US" w:eastAsia="zh-CN"/>
        </w:rPr>
        <w:t>2022版</w:t>
      </w: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28</w:t>
      </w:r>
      <w:r>
        <w:rPr>
          <w:rFonts w:hint="eastAsia" w:ascii="仿宋_GB2312" w:hAnsi="仿宋_GB2312" w:eastAsia="仿宋_GB2312" w:cs="仿宋_GB2312"/>
          <w:color w:val="auto"/>
          <w:sz w:val="32"/>
          <w:szCs w:val="32"/>
          <w:highlight w:val="none"/>
        </w:rPr>
        <w:t>日发布并实施，清远市人民政府印发。</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64" w:name="_Toc25041"/>
      <w:bookmarkStart w:id="65" w:name="_Toc25111"/>
      <w:bookmarkStart w:id="66" w:name="_Toc27277"/>
      <w:bookmarkStart w:id="67" w:name="_Toc17570"/>
      <w:bookmarkStart w:id="68" w:name="_Toc15029"/>
      <w:r>
        <w:rPr>
          <w:rFonts w:hint="eastAsia" w:ascii="黑体" w:hAnsi="黑体" w:eastAsia="黑体" w:cs="黑体"/>
          <w:b w:val="0"/>
          <w:bCs w:val="0"/>
          <w:color w:val="auto"/>
          <w:sz w:val="32"/>
          <w:szCs w:val="32"/>
          <w:highlight w:val="none"/>
          <w:lang w:val="en-US" w:eastAsia="zh-CN"/>
        </w:rPr>
        <w:t>四、名词解释</w:t>
      </w:r>
      <w:bookmarkEnd w:id="64"/>
      <w:bookmarkEnd w:id="65"/>
      <w:bookmarkEnd w:id="66"/>
      <w:bookmarkEnd w:id="67"/>
      <w:bookmarkEnd w:id="68"/>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color w:val="auto"/>
          <w:sz w:val="32"/>
          <w:szCs w:val="32"/>
          <w:highlight w:val="none"/>
          <w:lang w:eastAsia="zh-CN"/>
        </w:rPr>
        <w:t>（</w:t>
      </w:r>
      <w:r>
        <w:rPr>
          <w:rFonts w:hint="eastAsia" w:ascii="楷体_GB2312" w:hAnsi="楷体_GB2312" w:eastAsia="楷体_GB2312" w:cs="楷体_GB2312"/>
          <w:b w:val="0"/>
          <w:bCs w:val="0"/>
          <w:color w:val="auto"/>
          <w:sz w:val="32"/>
          <w:szCs w:val="32"/>
          <w:highlight w:val="none"/>
          <w:lang w:val="en-US" w:eastAsia="zh-CN"/>
        </w:rPr>
        <w:t>一</w:t>
      </w:r>
      <w:r>
        <w:rPr>
          <w:rFonts w:hint="eastAsia" w:ascii="楷体_GB2312" w:hAnsi="楷体_GB2312" w:eastAsia="楷体_GB2312" w:cs="楷体_GB2312"/>
          <w:b w:val="0"/>
          <w:bCs w:val="0"/>
          <w:color w:val="auto"/>
          <w:sz w:val="32"/>
          <w:szCs w:val="32"/>
          <w:highlight w:val="none"/>
          <w:lang w:eastAsia="zh-CN"/>
        </w:rPr>
        <w:t>）</w:t>
      </w:r>
      <w:r>
        <w:rPr>
          <w:rFonts w:hint="eastAsia" w:ascii="楷体_GB2312" w:hAnsi="楷体_GB2312" w:eastAsia="楷体_GB2312" w:cs="楷体_GB2312"/>
          <w:b w:val="0"/>
          <w:bCs w:val="0"/>
          <w:color w:val="auto"/>
          <w:sz w:val="32"/>
          <w:szCs w:val="32"/>
          <w:highlight w:val="none"/>
        </w:rPr>
        <w:t>再生资源：</w:t>
      </w:r>
      <w:r>
        <w:rPr>
          <w:rFonts w:hint="eastAsia" w:ascii="仿宋_GB2312" w:hAnsi="仿宋_GB2312" w:eastAsia="仿宋_GB2312" w:cs="仿宋_GB2312"/>
          <w:sz w:val="32"/>
          <w:szCs w:val="32"/>
          <w:highlight w:val="none"/>
        </w:rPr>
        <w:t>根据商务部等六部门联合发布的《再生资源回收</w:t>
      </w:r>
      <w:r>
        <w:rPr>
          <w:rFonts w:hint="eastAsia" w:ascii="仿宋_GB2312" w:hAnsi="仿宋_GB2312" w:eastAsia="仿宋_GB2312" w:cs="仿宋_GB2312"/>
          <w:sz w:val="32"/>
          <w:szCs w:val="32"/>
          <w:highlight w:val="none"/>
          <w:lang w:val="en-US" w:eastAsia="zh-CN"/>
        </w:rPr>
        <w:t>管理</w:t>
      </w:r>
      <w:r>
        <w:rPr>
          <w:rFonts w:hint="eastAsia" w:ascii="仿宋_GB2312" w:hAnsi="仿宋_GB2312" w:eastAsia="仿宋_GB2312" w:cs="仿宋_GB2312"/>
          <w:sz w:val="32"/>
          <w:szCs w:val="32"/>
          <w:highlight w:val="none"/>
        </w:rPr>
        <w:t>办法》，再生资源是指在社会生产和生活消费过程中产生的，</w:t>
      </w:r>
      <w:r>
        <w:rPr>
          <w:rFonts w:hint="eastAsia" w:ascii="仿宋_GB2312" w:hAnsi="仿宋_GB2312" w:eastAsia="仿宋_GB2312" w:cs="仿宋_GB2312"/>
          <w:sz w:val="32"/>
          <w:szCs w:val="32"/>
          <w:highlight w:val="none"/>
          <w:lang w:eastAsia="zh-CN"/>
        </w:rPr>
        <w:t>已经</w:t>
      </w:r>
      <w:r>
        <w:rPr>
          <w:rFonts w:hint="eastAsia" w:ascii="仿宋_GB2312" w:hAnsi="仿宋_GB2312" w:eastAsia="仿宋_GB2312" w:cs="仿宋_GB2312"/>
          <w:sz w:val="32"/>
          <w:szCs w:val="32"/>
          <w:highlight w:val="none"/>
        </w:rPr>
        <w:t>失去原有全部或部分使用价值，经过回收、加工处理，能够使其重新获得使用价值的各种废弃物。</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再生资源包括废旧金属、报废电子产品、报废机电设备及其零部件、废造纸原料（如废纸、废棉等）、废轻化工原料（如橡胶、塑料、动物杂骨、毛发等）、废玻璃等。</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（二）再生资源分类：</w:t>
      </w:r>
      <w:r>
        <w:rPr>
          <w:rFonts w:hint="eastAsia" w:ascii="仿宋_GB2312" w:hAnsi="仿宋_GB2312" w:eastAsia="仿宋_GB2312" w:cs="仿宋_GB2312"/>
          <w:sz w:val="32"/>
          <w:szCs w:val="32"/>
          <w:highlight w:val="none"/>
          <w:lang w:val="en-US" w:eastAsia="zh-CN"/>
        </w:rPr>
        <w:t>按来源分为生产性再生资源、生活性再生资源和其他特定废旧物品。</w:t>
      </w:r>
    </w:p>
    <w:p>
      <w:pPr>
        <w:pageBreakBefore w:val="0"/>
        <w:kinsoku/>
        <w:overflowPunct/>
        <w:topLinePunct w:val="0"/>
        <w:autoSpaceDE/>
        <w:autoSpaceDN/>
        <w:bidi w:val="0"/>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1.生产性再生资源：</w:t>
      </w:r>
      <w:r>
        <w:rPr>
          <w:rFonts w:hint="eastAsia" w:ascii="仿宋_GB2312" w:hAnsi="仿宋_GB2312" w:eastAsia="仿宋_GB2312" w:cs="仿宋_GB2312"/>
          <w:sz w:val="32"/>
          <w:szCs w:val="32"/>
          <w:highlight w:val="none"/>
          <w:lang w:val="en-US" w:eastAsia="zh-CN"/>
        </w:rPr>
        <w:t>包括生产过程中产生的金属和非金属废料，生产过程使用的报废的机械设备、机动车辆等，原材料及产品包装产生的废纸、废薄膜、废木块等，作为废旧物资处理的仓储积压产品、残次品；</w:t>
      </w:r>
    </w:p>
    <w:p>
      <w:pPr>
        <w:pageBreakBefore w:val="0"/>
        <w:kinsoku/>
        <w:overflowPunct/>
        <w:topLinePunct w:val="0"/>
        <w:autoSpaceDE/>
        <w:autoSpaceDN/>
        <w:bidi w:val="0"/>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2.生活性再生资源：</w:t>
      </w:r>
      <w:r>
        <w:rPr>
          <w:rFonts w:hint="eastAsia" w:ascii="仿宋_GB2312" w:hAnsi="仿宋_GB2312" w:eastAsia="仿宋_GB2312" w:cs="仿宋_GB2312"/>
          <w:sz w:val="32"/>
          <w:szCs w:val="32"/>
          <w:highlight w:val="none"/>
          <w:lang w:val="en-US" w:eastAsia="zh-CN"/>
        </w:rPr>
        <w:t>包括生活过程中产生的废旧金属、塑料、纸张、棉麻、毛、骨、玻璃、橡胶等；</w:t>
      </w:r>
    </w:p>
    <w:p>
      <w:pPr>
        <w:pageBreakBefore w:val="0"/>
        <w:kinsoku/>
        <w:overflowPunct/>
        <w:topLinePunct w:val="0"/>
        <w:autoSpaceDE/>
        <w:autoSpaceDN/>
        <w:bidi w:val="0"/>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3.其他特定废旧物品：</w:t>
      </w:r>
      <w:r>
        <w:rPr>
          <w:rFonts w:hint="eastAsia" w:ascii="仿宋_GB2312" w:hAnsi="仿宋_GB2312" w:eastAsia="仿宋_GB2312" w:cs="仿宋_GB2312"/>
          <w:sz w:val="32"/>
          <w:szCs w:val="32"/>
          <w:highlight w:val="none"/>
          <w:lang w:val="en-US" w:eastAsia="zh-CN"/>
        </w:rPr>
        <w:t>包括废旧电子产品、电池、医疗器械等（生态环境部门对工业固体废物、危险废物、医疗废物等特种物品纳入特殊管理）。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sz w:val="32"/>
          <w:szCs w:val="32"/>
          <w:highlight w:val="none"/>
        </w:rPr>
        <w:sectPr>
          <w:footerReference r:id="rId5" w:type="default"/>
          <w:pgSz w:w="11906" w:h="16838"/>
          <w:pgMar w:top="2211" w:right="1474" w:bottom="1871" w:left="1587" w:header="851" w:footer="992" w:gutter="0"/>
          <w:pgNumType w:fmt="numberInDash" w:start="1"/>
          <w:cols w:space="720" w:num="1"/>
          <w:docGrid w:type="lines" w:linePitch="312" w:charSpace="0"/>
        </w:sectPr>
      </w:pPr>
      <w:r>
        <w:rPr>
          <w:rFonts w:hint="eastAsia" w:ascii="楷体_GB2312" w:hAnsi="楷体_GB2312" w:eastAsia="楷体_GB2312" w:cs="楷体_GB2312"/>
          <w:b w:val="0"/>
          <w:bCs w:val="0"/>
          <w:color w:val="auto"/>
          <w:sz w:val="32"/>
          <w:szCs w:val="32"/>
          <w:highlight w:val="none"/>
          <w:lang w:val="en-US" w:eastAsia="zh-CN"/>
        </w:rPr>
        <w:t>（三）可回收物：</w:t>
      </w:r>
      <w:r>
        <w:rPr>
          <w:rFonts w:hint="eastAsia" w:ascii="仿宋_GB2312" w:hAnsi="仿宋_GB2312" w:eastAsia="仿宋_GB2312" w:cs="仿宋_GB2312"/>
          <w:sz w:val="32"/>
          <w:szCs w:val="32"/>
          <w:highlight w:val="none"/>
          <w:lang w:val="en-US" w:eastAsia="zh-CN"/>
        </w:rPr>
        <w:t>根据《广东省城乡生活垃圾管理条例》，城乡生活垃圾分为四类：可回收物、厨余垃圾、有害垃圾、其他垃圾。根据《城市生活垃圾分类及其评价标准》行业标准，可回收物是指适宜回收循环使用和资源利用的废物。主要包括纸类、塑料、金属、玻璃以及织物等。</w:t>
      </w:r>
    </w:p>
    <w:p>
      <w:pPr>
        <w:keepNext w:val="0"/>
        <w:keepLines w:val="0"/>
        <w:pageBreakBefore w:val="0"/>
        <w:widowControl w:val="0"/>
        <w:kinsoku/>
        <w:wordWrap/>
        <w:overflowPunct/>
        <w:topLinePunct w:val="0"/>
        <w:autoSpaceDE/>
        <w:autoSpaceDN/>
        <w:bidi w:val="0"/>
        <w:adjustRightInd/>
        <w:snapToGrid/>
        <w:spacing w:before="625" w:beforeLines="200" w:after="625" w:afterLines="200" w:line="560" w:lineRule="exact"/>
        <w:jc w:val="center"/>
        <w:textAlignment w:val="auto"/>
        <w:outlineLvl w:val="0"/>
        <w:rPr>
          <w:rFonts w:hint="eastAsia" w:ascii="仿宋_GB2312" w:hAnsi="仿宋_GB2312" w:eastAsia="仿宋_GB2312" w:cs="仿宋_GB2312"/>
          <w:b/>
          <w:bCs/>
          <w:color w:val="auto"/>
          <w:sz w:val="32"/>
          <w:szCs w:val="32"/>
          <w:highlight w:val="none"/>
          <w:lang w:val="en-US" w:eastAsia="zh-CN"/>
        </w:rPr>
      </w:pPr>
      <w:bookmarkStart w:id="69" w:name="_Toc4417"/>
      <w:bookmarkStart w:id="70" w:name="_Toc12011"/>
      <w:bookmarkStart w:id="71" w:name="_Toc4390"/>
      <w:bookmarkStart w:id="72" w:name="_Toc11800"/>
      <w:bookmarkStart w:id="73" w:name="_Toc29431"/>
      <w:bookmarkStart w:id="74" w:name="_Toc5544"/>
      <w:bookmarkStart w:id="75" w:name="_Toc30830"/>
      <w:bookmarkStart w:id="76" w:name="_Toc12658"/>
      <w:bookmarkStart w:id="77" w:name="_Toc27595"/>
      <w:r>
        <w:rPr>
          <w:rFonts w:hint="eastAsia" w:ascii="黑体" w:hAnsi="黑体" w:eastAsia="黑体" w:cs="黑体"/>
          <w:color w:val="auto"/>
          <w:sz w:val="32"/>
          <w:szCs w:val="32"/>
          <w:highlight w:val="none"/>
        </w:rPr>
        <w:t xml:space="preserve">第二章  </w:t>
      </w:r>
      <w:bookmarkStart w:id="78" w:name="_Toc2361"/>
      <w:bookmarkStart w:id="79" w:name="_Toc31319"/>
      <w:bookmarkStart w:id="80" w:name="_Toc1182"/>
      <w:bookmarkStart w:id="81" w:name="_Toc25165"/>
      <w:bookmarkStart w:id="82" w:name="_Toc10442"/>
      <w:r>
        <w:rPr>
          <w:rFonts w:hint="eastAsia" w:ascii="黑体" w:hAnsi="黑体" w:eastAsia="黑体" w:cs="黑体"/>
          <w:color w:val="auto"/>
          <w:sz w:val="32"/>
          <w:szCs w:val="32"/>
          <w:highlight w:val="none"/>
          <w:lang w:eastAsia="zh-CN"/>
        </w:rPr>
        <w:t>现状概况</w:t>
      </w:r>
      <w:bookmarkEnd w:id="69"/>
      <w:bookmarkEnd w:id="78"/>
      <w:bookmarkEnd w:id="79"/>
      <w:bookmarkEnd w:id="80"/>
      <w:bookmarkEnd w:id="81"/>
      <w:bookmarkEnd w:id="82"/>
      <w:bookmarkStart w:id="83" w:name="_Toc20096"/>
      <w:bookmarkStart w:id="84" w:name="_Toc14520"/>
      <w:bookmarkStart w:id="85" w:name="_Toc12584"/>
      <w:bookmarkStart w:id="86" w:name="_Toc2887"/>
      <w:bookmarkStart w:id="87" w:name="_Toc24088"/>
    </w:p>
    <w:p>
      <w:pPr>
        <w:keepNext w:val="0"/>
        <w:keepLines w:val="0"/>
        <w:pageBreakBefore w:val="0"/>
        <w:widowControl w:val="0"/>
        <w:kinsoku/>
        <w:wordWrap/>
        <w:overflowPunct/>
        <w:topLinePunct w:val="0"/>
        <w:autoSpaceDE/>
        <w:autoSpaceDN/>
        <w:bidi w:val="0"/>
        <w:adjustRightInd w:val="0"/>
        <w:snapToGrid w:val="0"/>
        <w:spacing w:before="469" w:beforeLines="150" w:line="360" w:lineRule="auto"/>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88" w:name="_Toc30249"/>
      <w:bookmarkStart w:id="89" w:name="_Toc14731"/>
      <w:bookmarkStart w:id="90" w:name="_Toc6693"/>
      <w:bookmarkStart w:id="91" w:name="_Toc24278"/>
      <w:r>
        <w:rPr>
          <w:rFonts w:hint="eastAsia" w:ascii="黑体" w:hAnsi="黑体" w:eastAsia="黑体" w:cs="黑体"/>
          <w:b w:val="0"/>
          <w:bCs w:val="0"/>
          <w:color w:val="auto"/>
          <w:sz w:val="32"/>
          <w:szCs w:val="32"/>
          <w:highlight w:val="none"/>
          <w:lang w:val="en-US" w:eastAsia="zh-CN"/>
        </w:rPr>
        <w:t>一、</w:t>
      </w:r>
      <w:bookmarkEnd w:id="83"/>
      <w:bookmarkEnd w:id="84"/>
      <w:bookmarkEnd w:id="85"/>
      <w:bookmarkEnd w:id="86"/>
      <w:bookmarkEnd w:id="87"/>
      <w:bookmarkEnd w:id="88"/>
      <w:bookmarkEnd w:id="89"/>
      <w:bookmarkEnd w:id="90"/>
      <w:bookmarkStart w:id="92" w:name="_Toc2767"/>
      <w:bookmarkStart w:id="93" w:name="_Toc2483"/>
      <w:bookmarkStart w:id="94" w:name="_Toc31227"/>
      <w:r>
        <w:rPr>
          <w:rFonts w:hint="eastAsia" w:ascii="黑体" w:hAnsi="黑体" w:eastAsia="黑体" w:cs="黑体"/>
          <w:b w:val="0"/>
          <w:bCs w:val="0"/>
          <w:color w:val="auto"/>
          <w:sz w:val="32"/>
          <w:szCs w:val="32"/>
          <w:highlight w:val="none"/>
          <w:lang w:val="en-US" w:eastAsia="zh-CN"/>
        </w:rPr>
        <w:t>再生资源回收行业现状</w:t>
      </w:r>
      <w:bookmarkEnd w:id="91"/>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（一）行业概况</w:t>
      </w:r>
    </w:p>
    <w:p>
      <w:pPr>
        <w:pageBreakBefore w:val="0"/>
        <w:kinsoku/>
        <w:overflowPunct/>
        <w:topLinePunct w:val="0"/>
        <w:autoSpaceDE/>
        <w:autoSpaceDN/>
        <w:bidi w:val="0"/>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1.组织化程度低</w:t>
      </w:r>
      <w:r>
        <w:rPr>
          <w:rFonts w:hint="eastAsia" w:ascii="仿宋_GB2312" w:hAnsi="仿宋_GB2312" w:eastAsia="仿宋_GB2312" w:cs="仿宋_GB2312"/>
          <w:sz w:val="32"/>
          <w:szCs w:val="32"/>
          <w:highlight w:val="none"/>
          <w:lang w:val="en-US" w:eastAsia="zh-CN"/>
        </w:rPr>
        <w:t>。再生资源回收行业以社会化个体回收为主，行业进入门槛低，导致从业者素质不一，回收主体组织化程度低，市场竞争力差，管理工作难度大。</w:t>
      </w:r>
    </w:p>
    <w:p>
      <w:pPr>
        <w:pageBreakBefore w:val="0"/>
        <w:kinsoku/>
        <w:overflowPunct/>
        <w:topLinePunct w:val="0"/>
        <w:autoSpaceDE/>
        <w:autoSpaceDN/>
        <w:bidi w:val="0"/>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2.专业技能不足，经营规范化程度低。</w:t>
      </w:r>
      <w:r>
        <w:rPr>
          <w:rFonts w:hint="eastAsia" w:ascii="仿宋_GB2312" w:hAnsi="仿宋_GB2312" w:eastAsia="仿宋_GB2312" w:cs="仿宋_GB2312"/>
          <w:sz w:val="32"/>
          <w:szCs w:val="32"/>
          <w:highlight w:val="none"/>
          <w:lang w:val="en-US" w:eastAsia="zh-CN"/>
        </w:rPr>
        <w:t>行业内技术研发普遍投入不足，专业知识水平和技能操作水平较低，标准化运作流程尚未形成，乱堆乱放、野蛮拆解等现象普遍存在，存在一定环保隐患。</w:t>
      </w:r>
    </w:p>
    <w:p>
      <w:pPr>
        <w:pageBreakBefore w:val="0"/>
        <w:kinsoku/>
        <w:overflowPunct/>
        <w:topLinePunct w:val="0"/>
        <w:autoSpaceDE/>
        <w:autoSpaceDN/>
        <w:bidi w:val="0"/>
        <w:spacing w:line="560" w:lineRule="exact"/>
        <w:ind w:firstLine="643"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3.部分品种回收率低，再生资源观念普及度低。</w:t>
      </w:r>
      <w:r>
        <w:rPr>
          <w:rFonts w:hint="eastAsia" w:ascii="仿宋_GB2312" w:hAnsi="仿宋_GB2312" w:eastAsia="仿宋_GB2312" w:cs="仿宋_GB2312"/>
          <w:sz w:val="32"/>
          <w:szCs w:val="32"/>
          <w:highlight w:val="none"/>
          <w:lang w:val="en-US" w:eastAsia="zh-CN"/>
        </w:rPr>
        <w:t>部分回收品种受回收成本高、利用价值较低等因素影响，经济效益较差，回收率较低，居民对再生资源行业缺乏认识，循环经济观念远未形成，政策性配套措施少，与发展循环经济要求有较大差距。</w:t>
      </w:r>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（二）回收方式</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目前，再生资源回收以流动回收、固定地点回收方式为主。</w:t>
      </w:r>
      <w:bookmarkStart w:id="95" w:name="_Toc7943"/>
      <w:bookmarkStart w:id="96" w:name="_Toc19917"/>
      <w:bookmarkStart w:id="97" w:name="_Toc30088"/>
      <w:bookmarkStart w:id="98" w:name="_Toc29856"/>
      <w:bookmarkStart w:id="99" w:name="_Toc24059"/>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00" w:name="_Toc13748"/>
      <w:bookmarkStart w:id="101" w:name="_Toc4780"/>
      <w:bookmarkStart w:id="102" w:name="_Toc1800"/>
      <w:bookmarkStart w:id="103" w:name="_Toc28704"/>
      <w:bookmarkStart w:id="104" w:name="_Toc26249"/>
      <w:r>
        <w:rPr>
          <w:rFonts w:hint="eastAsia" w:ascii="黑体" w:hAnsi="黑体" w:eastAsia="黑体" w:cs="黑体"/>
          <w:b w:val="0"/>
          <w:bCs w:val="0"/>
          <w:color w:val="auto"/>
          <w:sz w:val="32"/>
          <w:szCs w:val="32"/>
          <w:highlight w:val="none"/>
          <w:lang w:val="en-US" w:eastAsia="zh-CN"/>
        </w:rPr>
        <w:t>二、</w:t>
      </w:r>
      <w:bookmarkEnd w:id="95"/>
      <w:bookmarkEnd w:id="96"/>
      <w:bookmarkEnd w:id="97"/>
      <w:bookmarkEnd w:id="98"/>
      <w:bookmarkEnd w:id="99"/>
      <w:bookmarkEnd w:id="100"/>
      <w:bookmarkEnd w:id="101"/>
      <w:bookmarkEnd w:id="102"/>
      <w:r>
        <w:rPr>
          <w:rFonts w:hint="eastAsia" w:ascii="黑体" w:hAnsi="黑体" w:eastAsia="黑体" w:cs="黑体"/>
          <w:b w:val="0"/>
          <w:bCs w:val="0"/>
          <w:color w:val="auto"/>
          <w:sz w:val="32"/>
          <w:szCs w:val="32"/>
          <w:highlight w:val="none"/>
          <w:lang w:val="en-US" w:eastAsia="zh-CN"/>
        </w:rPr>
        <w:t>再生资源回收网点</w:t>
      </w:r>
      <w:bookmarkEnd w:id="103"/>
      <w:r>
        <w:rPr>
          <w:rFonts w:hint="eastAsia" w:ascii="黑体" w:hAnsi="黑体" w:eastAsia="黑体" w:cs="黑体"/>
          <w:b w:val="0"/>
          <w:bCs w:val="0"/>
          <w:color w:val="auto"/>
          <w:sz w:val="32"/>
          <w:szCs w:val="32"/>
          <w:highlight w:val="none"/>
          <w:lang w:val="en-US" w:eastAsia="zh-CN"/>
        </w:rPr>
        <w:t>现状</w:t>
      </w:r>
      <w:bookmarkEnd w:id="104"/>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w:t>
      </w:r>
      <w:r>
        <w:rPr>
          <w:rFonts w:hint="eastAsia" w:ascii="楷体_GB2312" w:hAnsi="楷体_GB2312" w:eastAsia="楷体_GB2312" w:cs="楷体_GB2312"/>
          <w:b w:val="0"/>
          <w:bCs w:val="0"/>
          <w:color w:val="auto"/>
          <w:sz w:val="32"/>
          <w:szCs w:val="32"/>
          <w:highlight w:val="none"/>
          <w:lang w:val="en-US" w:eastAsia="zh-CN"/>
        </w:rPr>
        <w:t>一</w:t>
      </w:r>
      <w:r>
        <w:rPr>
          <w:rFonts w:hint="eastAsia" w:ascii="楷体_GB2312" w:hAnsi="楷体_GB2312" w:eastAsia="楷体_GB2312" w:cs="楷体_GB2312"/>
          <w:b w:val="0"/>
          <w:bCs w:val="0"/>
          <w:color w:val="auto"/>
          <w:sz w:val="32"/>
          <w:szCs w:val="32"/>
          <w:highlight w:val="none"/>
          <w:lang w:eastAsia="zh-CN"/>
        </w:rPr>
        <w:t>）回收站点</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现状回收站点主要为废品店和可回收物收集箱(桶)。</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1.废品店</w:t>
      </w:r>
      <w:r>
        <w:rPr>
          <w:rFonts w:hint="eastAsia" w:ascii="仿宋_GB2312" w:hAnsi="仿宋_GB2312" w:eastAsia="仿宋_GB2312" w:cs="仿宋_GB2312"/>
          <w:sz w:val="32"/>
          <w:szCs w:val="32"/>
          <w:highlight w:val="none"/>
          <w:lang w:val="en-US" w:eastAsia="zh-CN"/>
        </w:rPr>
        <w:t>——设置简易，数量多、规模小、环境差。截至</w:t>
      </w:r>
      <w:r>
        <w:rPr>
          <w:rFonts w:ascii="仿宋" w:hAnsi="仿宋" w:eastAsia="仿宋" w:cs="仿宋"/>
          <w:color w:val="auto"/>
          <w:spacing w:val="12"/>
          <w:sz w:val="31"/>
          <w:szCs w:val="31"/>
        </w:rPr>
        <w:t>202</w:t>
      </w:r>
      <w:r>
        <w:rPr>
          <w:rFonts w:hint="eastAsia" w:ascii="仿宋" w:hAnsi="仿宋" w:eastAsia="仿宋" w:cs="仿宋"/>
          <w:color w:val="auto"/>
          <w:spacing w:val="12"/>
          <w:sz w:val="31"/>
          <w:szCs w:val="31"/>
          <w:lang w:val="en-US" w:eastAsia="zh-CN"/>
        </w:rPr>
        <w:t>4</w:t>
      </w:r>
      <w:r>
        <w:rPr>
          <w:rFonts w:ascii="仿宋" w:hAnsi="仿宋" w:eastAsia="仿宋" w:cs="仿宋"/>
          <w:color w:val="auto"/>
          <w:spacing w:val="12"/>
          <w:sz w:val="31"/>
          <w:szCs w:val="31"/>
        </w:rPr>
        <w:t>年底，</w:t>
      </w:r>
      <w:r>
        <w:rPr>
          <w:rFonts w:hint="eastAsia" w:ascii="仿宋" w:hAnsi="仿宋" w:eastAsia="仿宋" w:cs="仿宋"/>
          <w:color w:val="auto"/>
          <w:spacing w:val="12"/>
          <w:sz w:val="31"/>
          <w:szCs w:val="31"/>
          <w:lang w:val="en-US" w:eastAsia="zh-CN"/>
        </w:rPr>
        <w:t>横荷</w:t>
      </w:r>
      <w:r>
        <w:rPr>
          <w:rFonts w:ascii="仿宋" w:hAnsi="仿宋" w:eastAsia="仿宋" w:cs="仿宋"/>
          <w:color w:val="auto"/>
          <w:spacing w:val="12"/>
          <w:sz w:val="31"/>
          <w:szCs w:val="31"/>
        </w:rPr>
        <w:t>街内具有工商部门核发的行业经营许可证</w:t>
      </w:r>
      <w:r>
        <w:rPr>
          <w:rFonts w:ascii="仿宋" w:hAnsi="仿宋" w:eastAsia="仿宋" w:cs="仿宋"/>
          <w:color w:val="auto"/>
          <w:spacing w:val="11"/>
          <w:sz w:val="31"/>
          <w:szCs w:val="31"/>
        </w:rPr>
        <w:t>的再</w:t>
      </w:r>
      <w:r>
        <w:rPr>
          <w:rFonts w:ascii="仿宋" w:hAnsi="仿宋" w:eastAsia="仿宋" w:cs="仿宋"/>
          <w:color w:val="auto"/>
          <w:spacing w:val="6"/>
          <w:sz w:val="31"/>
          <w:szCs w:val="31"/>
        </w:rPr>
        <w:t>生资源回收个人独资企业或个体工商户为</w:t>
      </w:r>
      <w:r>
        <w:rPr>
          <w:rFonts w:hint="eastAsia" w:ascii="仿宋" w:hAnsi="仿宋" w:eastAsia="仿宋" w:cs="仿宋"/>
          <w:color w:val="auto"/>
          <w:spacing w:val="6"/>
          <w:sz w:val="31"/>
          <w:szCs w:val="31"/>
          <w:lang w:val="en-US" w:eastAsia="zh-CN"/>
        </w:rPr>
        <w:t>37</w:t>
      </w:r>
      <w:r>
        <w:rPr>
          <w:rFonts w:ascii="仿宋" w:hAnsi="仿宋" w:eastAsia="仿宋" w:cs="仿宋"/>
          <w:color w:val="auto"/>
          <w:spacing w:val="6"/>
          <w:sz w:val="31"/>
          <w:szCs w:val="31"/>
        </w:rPr>
        <w:t>间</w:t>
      </w:r>
      <w:r>
        <w:rPr>
          <w:rFonts w:hint="eastAsia" w:ascii="仿宋_GB2312" w:hAnsi="仿宋_GB2312" w:eastAsia="仿宋_GB2312" w:cs="仿宋_GB2312"/>
          <w:color w:val="auto"/>
          <w:sz w:val="32"/>
          <w:szCs w:val="32"/>
          <w:highlight w:val="none"/>
          <w:lang w:val="en-US" w:eastAsia="zh-CN"/>
        </w:rPr>
        <w:t>，经营规模共计11815平方米。</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经营情况：由于再生资源回收行业具有进入门槛低、经营成本低等特点，少量回收网点没有工商部门核发的行业经营许可证，经营不正规，影响主管部门监管和市场秩序，加上走街串巷的流动废品收购人员，无证经营回收队伍更显庞大，再生资源回收市场混乱和行业短斤缺两现象比较严重。</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回收种类：包括废纸、废塑料、废金属、废织物、废电器电子等。</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建筑情况：根据调研情况，横荷街内的大部分回收网点建筑质量及外观欠佳。场地内杂乱堆放回收物资，经营环境较差，乱堆乱放、乱设摊点现象严重，对市容市貌和周边环境产生影响较大。</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2.回收站点</w:t>
      </w:r>
      <w:r>
        <w:rPr>
          <w:rFonts w:hint="eastAsia" w:ascii="仿宋_GB2312" w:hAnsi="仿宋_GB2312" w:eastAsia="仿宋_GB2312" w:cs="仿宋_GB2312"/>
          <w:sz w:val="32"/>
          <w:szCs w:val="32"/>
          <w:highlight w:val="none"/>
          <w:lang w:val="en-US" w:eastAsia="zh-CN"/>
        </w:rPr>
        <w:t>——可回收物垃圾箱、旧衣物回收箱，管理难度大（分类不充分、拾荒人员拾取等），回收量较低。</w:t>
      </w:r>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eastAsia="zh-CN"/>
        </w:rPr>
        <w:t>（</w:t>
      </w:r>
      <w:r>
        <w:rPr>
          <w:rFonts w:hint="eastAsia" w:ascii="楷体_GB2312" w:hAnsi="楷体_GB2312" w:eastAsia="楷体_GB2312" w:cs="楷体_GB2312"/>
          <w:b w:val="0"/>
          <w:bCs w:val="0"/>
          <w:color w:val="auto"/>
          <w:sz w:val="32"/>
          <w:szCs w:val="32"/>
          <w:highlight w:val="none"/>
          <w:lang w:val="en-US" w:eastAsia="zh-CN"/>
        </w:rPr>
        <w:t>二</w:t>
      </w:r>
      <w:r>
        <w:rPr>
          <w:rFonts w:hint="eastAsia" w:ascii="楷体_GB2312" w:hAnsi="楷体_GB2312" w:eastAsia="楷体_GB2312" w:cs="楷体_GB2312"/>
          <w:b w:val="0"/>
          <w:bCs w:val="0"/>
          <w:color w:val="auto"/>
          <w:sz w:val="32"/>
          <w:szCs w:val="32"/>
          <w:highlight w:val="none"/>
          <w:lang w:eastAsia="zh-CN"/>
        </w:rPr>
        <w:t>）垃圾收集站</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横荷街现有临时垃圾收集站1处，配备可回收物清运专用车5台，总占地1076平方米。</w:t>
      </w:r>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val="en-US" w:eastAsia="zh-CN"/>
        </w:rPr>
        <w:t>（三）回收企业</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根据相关资料显示，</w:t>
      </w:r>
      <w:r>
        <w:rPr>
          <w:rFonts w:hint="eastAsia" w:ascii="仿宋" w:hAnsi="仿宋" w:eastAsia="仿宋" w:cs="仿宋"/>
          <w:color w:val="auto"/>
          <w:sz w:val="31"/>
          <w:szCs w:val="31"/>
          <w:lang w:val="en-US" w:eastAsia="zh-CN"/>
        </w:rPr>
        <w:t>横荷</w:t>
      </w:r>
      <w:r>
        <w:rPr>
          <w:rFonts w:ascii="仿宋" w:hAnsi="仿宋" w:eastAsia="仿宋" w:cs="仿宋"/>
          <w:color w:val="auto"/>
          <w:spacing w:val="5"/>
          <w:sz w:val="31"/>
          <w:szCs w:val="31"/>
        </w:rPr>
        <w:t>街持有工商营业执照的再生资源回</w:t>
      </w:r>
      <w:r>
        <w:rPr>
          <w:rFonts w:ascii="仿宋" w:hAnsi="仿宋" w:eastAsia="仿宋" w:cs="仿宋"/>
          <w:color w:val="auto"/>
          <w:spacing w:val="3"/>
          <w:sz w:val="31"/>
          <w:szCs w:val="31"/>
        </w:rPr>
        <w:t>收企业共有</w:t>
      </w:r>
      <w:r>
        <w:rPr>
          <w:rFonts w:hint="eastAsia" w:ascii="仿宋" w:hAnsi="仿宋" w:eastAsia="仿宋" w:cs="仿宋"/>
          <w:color w:val="auto"/>
          <w:spacing w:val="3"/>
          <w:sz w:val="31"/>
          <w:szCs w:val="31"/>
          <w:lang w:val="en-US" w:eastAsia="zh-CN"/>
        </w:rPr>
        <w:t>37</w:t>
      </w:r>
      <w:r>
        <w:rPr>
          <w:rFonts w:ascii="仿宋" w:hAnsi="仿宋" w:eastAsia="仿宋" w:cs="仿宋"/>
          <w:color w:val="auto"/>
          <w:spacing w:val="3"/>
          <w:sz w:val="31"/>
          <w:szCs w:val="31"/>
        </w:rPr>
        <w:t>家。</w:t>
      </w:r>
      <w:r>
        <w:rPr>
          <w:rFonts w:hint="eastAsia" w:ascii="仿宋_GB2312" w:hAnsi="仿宋_GB2312" w:eastAsia="仿宋_GB2312" w:cs="仿宋_GB2312"/>
          <w:color w:val="auto"/>
          <w:sz w:val="32"/>
          <w:szCs w:val="32"/>
          <w:highlight w:val="none"/>
        </w:rPr>
        <w:t>再生资源回收企业体量不一，</w:t>
      </w:r>
      <w:r>
        <w:rPr>
          <w:rFonts w:hint="eastAsia" w:ascii="仿宋_GB2312" w:hAnsi="仿宋_GB2312" w:eastAsia="仿宋_GB2312" w:cs="仿宋_GB2312"/>
          <w:color w:val="auto"/>
          <w:sz w:val="32"/>
          <w:szCs w:val="32"/>
          <w:highlight w:val="none"/>
          <w:lang w:eastAsia="zh-CN"/>
        </w:rPr>
        <w:t>场地不规范，建筑设施简陋，环境卫生问题突出，</w:t>
      </w:r>
      <w:r>
        <w:rPr>
          <w:rFonts w:hint="eastAsia" w:ascii="仿宋_GB2312" w:hAnsi="仿宋_GB2312" w:eastAsia="仿宋_GB2312" w:cs="仿宋_GB2312"/>
          <w:color w:val="auto"/>
          <w:sz w:val="32"/>
          <w:szCs w:val="32"/>
          <w:highlight w:val="none"/>
        </w:rPr>
        <w:t>不同规模企业的物资堆放场地面积相差较大，最大为2500㎡，最小的25㎡。</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05" w:name="_Toc31830"/>
      <w:bookmarkStart w:id="106" w:name="_Toc14603"/>
      <w:r>
        <w:rPr>
          <w:rFonts w:hint="eastAsia" w:ascii="黑体" w:hAnsi="黑体" w:eastAsia="黑体" w:cs="黑体"/>
          <w:b w:val="0"/>
          <w:bCs w:val="0"/>
          <w:color w:val="auto"/>
          <w:sz w:val="32"/>
          <w:szCs w:val="32"/>
          <w:highlight w:val="none"/>
          <w:lang w:val="en-US" w:eastAsia="zh-CN"/>
        </w:rPr>
        <w:t>三、再生资源回收网点存在</w:t>
      </w:r>
      <w:bookmarkEnd w:id="105"/>
      <w:r>
        <w:rPr>
          <w:rFonts w:hint="eastAsia" w:ascii="黑体" w:hAnsi="黑体" w:eastAsia="黑体" w:cs="黑体"/>
          <w:b w:val="0"/>
          <w:bCs w:val="0"/>
          <w:color w:val="auto"/>
          <w:sz w:val="32"/>
          <w:szCs w:val="32"/>
          <w:highlight w:val="none"/>
          <w:lang w:val="en-US" w:eastAsia="zh-CN"/>
        </w:rPr>
        <w:t>问题</w:t>
      </w:r>
      <w:bookmarkEnd w:id="106"/>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w:t>
      </w:r>
      <w:r>
        <w:rPr>
          <w:rFonts w:hint="eastAsia" w:ascii="楷体_GB2312" w:hAnsi="楷体_GB2312" w:eastAsia="楷体_GB2312" w:cs="楷体_GB2312"/>
          <w:b w:val="0"/>
          <w:bCs w:val="0"/>
          <w:color w:val="auto"/>
          <w:sz w:val="32"/>
          <w:szCs w:val="32"/>
          <w:highlight w:val="none"/>
          <w:lang w:val="en-US" w:eastAsia="zh-CN"/>
        </w:rPr>
        <w:t>一</w:t>
      </w:r>
      <w:r>
        <w:rPr>
          <w:rFonts w:hint="eastAsia" w:ascii="楷体_GB2312" w:hAnsi="楷体_GB2312" w:eastAsia="楷体_GB2312" w:cs="楷体_GB2312"/>
          <w:b w:val="0"/>
          <w:bCs w:val="0"/>
          <w:color w:val="auto"/>
          <w:sz w:val="32"/>
          <w:szCs w:val="32"/>
          <w:highlight w:val="none"/>
          <w:lang w:eastAsia="zh-CN"/>
        </w:rPr>
        <w:t>）回收网点布局不合理</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1.回收点设置缺少规划引导，分布不均，存在设置过密及覆盖盲区等问题。</w:t>
      </w:r>
    </w:p>
    <w:p>
      <w:pPr>
        <w:pageBreakBefore w:val="0"/>
        <w:kinsoku/>
        <w:overflowPunct/>
        <w:topLinePunct w:val="0"/>
        <w:autoSpaceDE/>
        <w:autoSpaceDN/>
        <w:bidi w:val="0"/>
        <w:spacing w:line="56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2.回收网点随意设点，以“个体户”“小作坊”为主，规模小，经营分散，且无固定回收场所，或频繁变更经营场所，分布在各背街内巷、居民区，环保、安全隐患严重。</w:t>
      </w:r>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（二）回收网点运营管理不规范</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1.经营模式简单粗放，存在设备简陋、技术落后、不规范拆解等问题，容易导致环境污染。</w:t>
      </w:r>
    </w:p>
    <w:p>
      <w:pPr>
        <w:pageBreakBefore w:val="0"/>
        <w:kinsoku/>
        <w:overflowPunct/>
        <w:topLinePunct w:val="0"/>
        <w:autoSpaceDE/>
        <w:autoSpaceDN/>
        <w:bidi w:val="0"/>
        <w:spacing w:line="560" w:lineRule="exact"/>
        <w:ind w:firstLine="640" w:firstLineChars="200"/>
        <w:rPr>
          <w:rFonts w:hint="eastAsia" w:ascii="仿宋" w:hAnsi="仿宋" w:eastAsia="仿宋" w:cs="仿宋"/>
          <w:color w:val="auto"/>
          <w:spacing w:val="8"/>
          <w:sz w:val="31"/>
          <w:szCs w:val="31"/>
        </w:rPr>
      </w:pPr>
      <w:r>
        <w:rPr>
          <w:rFonts w:hint="eastAsia" w:ascii="仿宋_GB2312" w:hAnsi="仿宋_GB2312" w:eastAsia="仿宋_GB2312" w:cs="仿宋_GB2312"/>
          <w:color w:val="auto"/>
          <w:sz w:val="32"/>
          <w:szCs w:val="32"/>
          <w:highlight w:val="none"/>
          <w:lang w:val="en-US" w:eastAsia="zh-CN"/>
        </w:rPr>
        <w:t>2.</w:t>
      </w:r>
      <w:r>
        <w:rPr>
          <w:rFonts w:hint="eastAsia" w:ascii="仿宋" w:hAnsi="仿宋" w:eastAsia="仿宋" w:cs="仿宋"/>
          <w:color w:val="auto"/>
          <w:spacing w:val="8"/>
          <w:sz w:val="31"/>
          <w:szCs w:val="31"/>
        </w:rPr>
        <w:t>普遍存在无证经营现象。截至2024年底，横荷街再生资源回收主体共有106间，其中持有工商营业执照的再生资源回收主体共有37间，占总数的35%；无证经营的再生资源回收主体共64间，占总数的58%。</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3.回收网点以家庭式经营居多，经营者安全意识淡薄，存在违章搭建、露天作业、安全间距不达标、电线乱拉挂、消防设施陈旧、“三防”环保设备不足等现象。</w:t>
      </w:r>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（三）回收体系不完善</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1.未建立规范、固定的回收站，部分地区废旧物资交售不便</w:t>
      </w:r>
      <w:r>
        <w:rPr>
          <w:rFonts w:hint="eastAsia" w:ascii="仿宋_GB2312" w:hAnsi="仿宋_GB2312" w:eastAsia="仿宋_GB2312" w:cs="仿宋_GB2312"/>
          <w:sz w:val="32"/>
          <w:szCs w:val="32"/>
          <w:highlight w:val="none"/>
          <w:lang w:eastAsia="zh-CN"/>
        </w:rPr>
        <w:t>。</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2.回收现状基本处于自发状态，没有形成完整的产业链，网络体系不健全，低值品种回收率低，造成资源浪费。</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3.各项资源要素不足</w:t>
      </w:r>
      <w:r>
        <w:rPr>
          <w:rFonts w:hint="eastAsia" w:ascii="仿宋_GB2312" w:hAnsi="仿宋_GB2312" w:eastAsia="仿宋_GB2312" w:cs="仿宋_GB2312"/>
          <w:sz w:val="32"/>
          <w:szCs w:val="32"/>
          <w:highlight w:val="none"/>
          <w:lang w:eastAsia="zh-CN"/>
        </w:rPr>
        <w:t>，再生资源</w:t>
      </w:r>
      <w:r>
        <w:rPr>
          <w:rFonts w:hint="eastAsia" w:ascii="仿宋_GB2312" w:hAnsi="仿宋_GB2312" w:eastAsia="仿宋_GB2312" w:cs="仿宋_GB2312"/>
          <w:sz w:val="32"/>
          <w:szCs w:val="32"/>
          <w:highlight w:val="none"/>
        </w:rPr>
        <w:t>中转环节较为薄弱，缺少分拣中心，存在专门场所不够、专有技术薄弱、专项经费不足、专职人员缺乏等情况。</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07" w:name="_Toc5094"/>
      <w:bookmarkStart w:id="108" w:name="_Toc21865"/>
      <w:r>
        <w:rPr>
          <w:rFonts w:hint="eastAsia" w:ascii="黑体" w:hAnsi="黑体" w:eastAsia="黑体" w:cs="黑体"/>
          <w:b w:val="0"/>
          <w:bCs w:val="0"/>
          <w:color w:val="auto"/>
          <w:sz w:val="32"/>
          <w:szCs w:val="32"/>
          <w:highlight w:val="none"/>
          <w:lang w:val="en-US" w:eastAsia="zh-CN"/>
        </w:rPr>
        <w:t>四、再生资源回收面临的挑战</w:t>
      </w:r>
      <w:bookmarkEnd w:id="107"/>
      <w:bookmarkEnd w:id="108"/>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（一）生活垃圾产量日益提升，再生资源回收能力未能有效匹配</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近年来，横荷街的人口在持续增加，垃圾处理量也快速增多。根据2020年横荷街道第七次全国人口普查数据统计，横荷街常住人口达10.5万人。</w:t>
      </w:r>
    </w:p>
    <w:p>
      <w:pPr>
        <w:pageBreakBefore w:val="0"/>
        <w:kinsoku/>
        <w:overflowPunct/>
        <w:topLinePunct w:val="0"/>
        <w:autoSpaceDE/>
        <w:autoSpaceDN/>
        <w:bidi w:val="0"/>
        <w:spacing w:line="560" w:lineRule="exact"/>
        <w:ind w:firstLine="604" w:firstLineChars="200"/>
        <w:rPr>
          <w:rFonts w:hint="eastAsia" w:ascii="仿宋_GB2312" w:hAnsi="仿宋_GB2312" w:eastAsia="仿宋_GB2312" w:cs="仿宋_GB2312"/>
          <w:color w:val="FF0000"/>
          <w:sz w:val="32"/>
          <w:szCs w:val="32"/>
          <w:highlight w:val="none"/>
          <w:lang w:val="en-US" w:eastAsia="zh-CN"/>
        </w:rPr>
      </w:pPr>
      <w:r>
        <w:rPr>
          <w:rFonts w:ascii="仿宋" w:hAnsi="仿宋" w:eastAsia="仿宋" w:cs="仿宋"/>
          <w:color w:val="auto"/>
          <w:spacing w:val="-4"/>
          <w:sz w:val="31"/>
          <w:szCs w:val="31"/>
        </w:rPr>
        <w:t>近年来</w:t>
      </w:r>
      <w:r>
        <w:rPr>
          <w:rFonts w:hint="eastAsia" w:ascii="仿宋" w:hAnsi="仿宋" w:eastAsia="仿宋" w:cs="仿宋"/>
          <w:color w:val="auto"/>
          <w:spacing w:val="-4"/>
          <w:sz w:val="31"/>
          <w:szCs w:val="31"/>
        </w:rPr>
        <w:t>横荷街道</w:t>
      </w:r>
      <w:r>
        <w:rPr>
          <w:rFonts w:ascii="仿宋" w:hAnsi="仿宋" w:eastAsia="仿宋" w:cs="仿宋"/>
          <w:color w:val="auto"/>
          <w:spacing w:val="-4"/>
          <w:sz w:val="31"/>
          <w:szCs w:val="31"/>
        </w:rPr>
        <w:t>的人口在持续增加，垃圾处理量也快速增多。</w:t>
      </w:r>
      <w:r>
        <w:rPr>
          <w:rFonts w:ascii="仿宋" w:hAnsi="仿宋" w:eastAsia="仿宋" w:cs="仿宋"/>
          <w:color w:val="auto"/>
          <w:spacing w:val="9"/>
          <w:sz w:val="31"/>
          <w:szCs w:val="31"/>
        </w:rPr>
        <w:t>根据数据统计，</w:t>
      </w:r>
      <w:r>
        <w:rPr>
          <w:rFonts w:hint="eastAsia" w:ascii="仿宋" w:hAnsi="仿宋" w:eastAsia="仿宋" w:cs="仿宋"/>
          <w:color w:val="auto"/>
          <w:spacing w:val="9"/>
          <w:sz w:val="31"/>
          <w:szCs w:val="31"/>
          <w:lang w:val="en-US" w:eastAsia="zh-CN"/>
        </w:rPr>
        <w:t>横荷街道常</w:t>
      </w:r>
      <w:r>
        <w:rPr>
          <w:rFonts w:ascii="仿宋" w:hAnsi="仿宋" w:eastAsia="仿宋" w:cs="仿宋"/>
          <w:color w:val="auto"/>
          <w:spacing w:val="1"/>
          <w:sz w:val="31"/>
          <w:szCs w:val="31"/>
        </w:rPr>
        <w:t>住人口</w:t>
      </w:r>
      <w:r>
        <w:rPr>
          <w:rFonts w:hint="eastAsia" w:ascii="仿宋" w:hAnsi="仿宋" w:eastAsia="仿宋" w:cs="仿宋"/>
          <w:color w:val="auto"/>
          <w:spacing w:val="1"/>
          <w:sz w:val="31"/>
          <w:szCs w:val="31"/>
          <w:lang w:val="en-US" w:eastAsia="zh-CN"/>
        </w:rPr>
        <w:t>达10.5万</w:t>
      </w:r>
      <w:r>
        <w:rPr>
          <w:rFonts w:ascii="仿宋" w:hAnsi="仿宋" w:eastAsia="仿宋" w:cs="仿宋"/>
          <w:color w:val="auto"/>
          <w:spacing w:val="1"/>
          <w:sz w:val="31"/>
          <w:szCs w:val="31"/>
        </w:rPr>
        <w:t>人</w:t>
      </w:r>
      <w:r>
        <w:rPr>
          <w:rFonts w:hint="eastAsia" w:ascii="仿宋" w:hAnsi="仿宋" w:eastAsia="仿宋" w:cs="仿宋"/>
          <w:color w:val="auto"/>
          <w:spacing w:val="1"/>
          <w:sz w:val="31"/>
          <w:szCs w:val="31"/>
          <w:lang w:eastAsia="zh-CN"/>
        </w:rPr>
        <w:t>。</w:t>
      </w:r>
      <w:r>
        <w:rPr>
          <w:rFonts w:ascii="仿宋" w:hAnsi="仿宋" w:eastAsia="仿宋" w:cs="仿宋"/>
          <w:color w:val="auto"/>
          <w:spacing w:val="12"/>
          <w:sz w:val="31"/>
          <w:szCs w:val="31"/>
        </w:rPr>
        <w:t>根据有关数据显示，2023年</w:t>
      </w:r>
      <w:r>
        <w:rPr>
          <w:rFonts w:hint="eastAsia" w:ascii="仿宋" w:hAnsi="仿宋" w:eastAsia="仿宋" w:cs="仿宋"/>
          <w:color w:val="auto"/>
          <w:spacing w:val="12"/>
          <w:sz w:val="31"/>
          <w:szCs w:val="31"/>
          <w:lang w:val="en-US" w:eastAsia="zh-CN"/>
        </w:rPr>
        <w:t>横荷</w:t>
      </w:r>
      <w:r>
        <w:rPr>
          <w:rFonts w:ascii="仿宋" w:hAnsi="仿宋" w:eastAsia="仿宋" w:cs="仿宋"/>
          <w:color w:val="auto"/>
          <w:spacing w:val="12"/>
          <w:sz w:val="31"/>
          <w:szCs w:val="31"/>
        </w:rPr>
        <w:t>街城乡生活垃圾清运量为</w:t>
      </w:r>
      <w:r>
        <w:rPr>
          <w:rFonts w:hint="eastAsia" w:ascii="仿宋" w:hAnsi="仿宋" w:eastAsia="仿宋" w:cs="仿宋"/>
          <w:color w:val="auto"/>
          <w:sz w:val="31"/>
          <w:szCs w:val="31"/>
          <w:lang w:val="en-US" w:eastAsia="zh-CN"/>
        </w:rPr>
        <w:t>4.8</w:t>
      </w:r>
      <w:r>
        <w:rPr>
          <w:rFonts w:ascii="仿宋" w:hAnsi="仿宋" w:eastAsia="仿宋" w:cs="仿宋"/>
          <w:color w:val="auto"/>
          <w:sz w:val="31"/>
          <w:szCs w:val="31"/>
        </w:rPr>
        <w:t>万吨/年，日均清运量</w:t>
      </w:r>
      <w:r>
        <w:rPr>
          <w:rFonts w:hint="eastAsia" w:ascii="仿宋" w:hAnsi="仿宋" w:eastAsia="仿宋" w:cs="仿宋"/>
          <w:color w:val="auto"/>
          <w:sz w:val="31"/>
          <w:szCs w:val="31"/>
          <w:lang w:val="en-US" w:eastAsia="zh-CN"/>
        </w:rPr>
        <w:t>131</w:t>
      </w:r>
      <w:r>
        <w:rPr>
          <w:rFonts w:ascii="仿宋" w:hAnsi="仿宋" w:eastAsia="仿宋" w:cs="仿宋"/>
          <w:color w:val="auto"/>
          <w:sz w:val="31"/>
          <w:szCs w:val="31"/>
        </w:rPr>
        <w:t>吨/日。</w:t>
      </w:r>
      <w:r>
        <w:rPr>
          <w:rFonts w:hint="eastAsia" w:ascii="仿宋_GB2312" w:hAnsi="仿宋_GB2312" w:eastAsia="仿宋_GB2312" w:cs="仿宋_GB2312"/>
          <w:color w:val="auto"/>
          <w:sz w:val="32"/>
          <w:szCs w:val="32"/>
          <w:highlight w:val="none"/>
          <w:lang w:val="en-US" w:eastAsia="zh-CN"/>
        </w:rPr>
        <w:t>目前，横荷街建有临时垃圾收集点1个，分布在青山村委下塘湾小组考场对面（烂尾楼旁），均已处于超负荷运转状态。可见人口增多、生活垃圾存量增多，垃圾围城的形势越来越严峻。因此通过健全再生资源回收体系，实现垃圾减量化和资源化，减轻垃圾处理压力，是清城区横荷街道垃圾分类和再生资源回收面临的重大挑战。</w:t>
      </w:r>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（二）分类投放、分类收集、分类运输、分类处理的垃圾处理体系不完整，使再生资源回收缺乏基础</w:t>
      </w:r>
    </w:p>
    <w:p>
      <w:pPr>
        <w:pageBreakBefore w:val="0"/>
        <w:kinsoku/>
        <w:overflowPunct/>
        <w:topLinePunct w:val="0"/>
        <w:autoSpaceDE/>
        <w:autoSpaceDN/>
        <w:bidi w:val="0"/>
        <w:spacing w:line="560" w:lineRule="exact"/>
        <w:ind w:firstLine="640" w:firstLineChars="200"/>
        <w:rPr>
          <w:rFonts w:hint="eastAsia" w:ascii="黑体" w:hAnsi="黑体" w:eastAsia="黑体" w:cs="黑体"/>
          <w:color w:val="auto"/>
          <w:sz w:val="32"/>
          <w:szCs w:val="32"/>
          <w:highlight w:val="none"/>
          <w:lang w:eastAsia="zh-CN"/>
        </w:rPr>
      </w:pPr>
      <w:r>
        <w:rPr>
          <w:rFonts w:hint="eastAsia" w:ascii="仿宋_GB2312" w:hAnsi="仿宋_GB2312" w:eastAsia="仿宋_GB2312" w:cs="仿宋_GB2312"/>
          <w:sz w:val="32"/>
          <w:szCs w:val="32"/>
          <w:highlight w:val="none"/>
          <w:lang w:val="en-US" w:eastAsia="zh-CN"/>
        </w:rPr>
        <w:t>垃圾分类热潮虽然已经初步兴起，但离深入人心和全面贯彻落实仍存在比较大的差距。目前现有的垃圾处理体系尚未完整，大部分</w:t>
      </w:r>
      <w:r>
        <w:rPr>
          <w:rFonts w:hint="eastAsia" w:ascii="仿宋_GB2312" w:hAnsi="仿宋_GB2312" w:eastAsia="仿宋_GB2312" w:cs="仿宋_GB2312"/>
          <w:sz w:val="32"/>
          <w:szCs w:val="32"/>
          <w:highlight w:val="none"/>
        </w:rPr>
        <w:t>居民</w:t>
      </w:r>
      <w:r>
        <w:rPr>
          <w:rFonts w:hint="eastAsia" w:ascii="仿宋_GB2312" w:hAnsi="仿宋_GB2312" w:eastAsia="仿宋_GB2312" w:cs="仿宋_GB2312"/>
          <w:sz w:val="32"/>
          <w:szCs w:val="32"/>
          <w:highlight w:val="none"/>
          <w:lang w:eastAsia="zh-CN"/>
        </w:rPr>
        <w:t>群众垃圾分类意识</w:t>
      </w:r>
      <w:r>
        <w:rPr>
          <w:rFonts w:hint="eastAsia" w:ascii="仿宋_GB2312" w:hAnsi="仿宋_GB2312" w:eastAsia="仿宋_GB2312" w:cs="仿宋_GB2312"/>
          <w:sz w:val="32"/>
          <w:szCs w:val="32"/>
          <w:highlight w:val="none"/>
          <w:lang w:val="en-US" w:eastAsia="zh-CN"/>
        </w:rPr>
        <w:t>仍停留在</w:t>
      </w:r>
      <w:r>
        <w:rPr>
          <w:rFonts w:hint="eastAsia" w:ascii="仿宋_GB2312" w:hAnsi="仿宋_GB2312" w:eastAsia="仿宋_GB2312" w:cs="仿宋_GB2312"/>
          <w:sz w:val="32"/>
          <w:szCs w:val="32"/>
          <w:highlight w:val="none"/>
        </w:rPr>
        <w:t>想分、不知道怎么分</w:t>
      </w:r>
      <w:r>
        <w:rPr>
          <w:rFonts w:hint="eastAsia" w:ascii="仿宋_GB2312" w:hAnsi="仿宋_GB2312" w:eastAsia="仿宋_GB2312" w:cs="仿宋_GB2312"/>
          <w:sz w:val="32"/>
          <w:szCs w:val="32"/>
          <w:highlight w:val="none"/>
          <w:lang w:val="en-US" w:eastAsia="zh-CN"/>
        </w:rPr>
        <w:t>阶段</w:t>
      </w:r>
      <w:r>
        <w:rPr>
          <w:rFonts w:hint="eastAsia" w:ascii="仿宋_GB2312" w:hAnsi="仿宋_GB2312" w:eastAsia="仿宋_GB2312" w:cs="仿宋_GB2312"/>
          <w:sz w:val="32"/>
          <w:szCs w:val="32"/>
          <w:highlight w:val="none"/>
          <w:lang w:eastAsia="zh-CN"/>
        </w:rPr>
        <w:t>，存在</w:t>
      </w:r>
      <w:r>
        <w:rPr>
          <w:rFonts w:hint="eastAsia" w:ascii="仿宋_GB2312" w:hAnsi="仿宋_GB2312" w:eastAsia="仿宋_GB2312" w:cs="仿宋_GB2312"/>
          <w:sz w:val="32"/>
          <w:szCs w:val="32"/>
          <w:highlight w:val="none"/>
        </w:rPr>
        <w:t>今天分、明天懒得分，有人盯就分、没人盯就不分</w:t>
      </w:r>
      <w:r>
        <w:rPr>
          <w:rFonts w:hint="eastAsia" w:ascii="仿宋_GB2312" w:hAnsi="仿宋_GB2312" w:eastAsia="仿宋_GB2312" w:cs="仿宋_GB2312"/>
          <w:sz w:val="32"/>
          <w:szCs w:val="32"/>
          <w:highlight w:val="none"/>
          <w:lang w:val="en-US" w:eastAsia="zh-CN"/>
        </w:rPr>
        <w:t>等问题，</w:t>
      </w:r>
      <w:r>
        <w:rPr>
          <w:rFonts w:hint="eastAsia" w:ascii="仿宋_GB2312" w:hAnsi="仿宋_GB2312" w:eastAsia="仿宋_GB2312" w:cs="仿宋_GB2312"/>
          <w:sz w:val="32"/>
          <w:szCs w:val="32"/>
          <w:highlight w:val="none"/>
          <w:lang w:eastAsia="zh-CN"/>
        </w:rPr>
        <w:t>缺少</w:t>
      </w:r>
      <w:r>
        <w:rPr>
          <w:rFonts w:hint="eastAsia" w:ascii="仿宋_GB2312" w:hAnsi="仿宋_GB2312" w:eastAsia="仿宋_GB2312" w:cs="仿宋_GB2312"/>
          <w:sz w:val="32"/>
          <w:szCs w:val="32"/>
          <w:highlight w:val="none"/>
        </w:rPr>
        <w:t>持续动力。</w:t>
      </w:r>
      <w:r>
        <w:rPr>
          <w:rFonts w:hint="eastAsia" w:ascii="仿宋_GB2312" w:hAnsi="仿宋_GB2312" w:eastAsia="仿宋_GB2312" w:cs="仿宋_GB2312"/>
          <w:sz w:val="32"/>
          <w:szCs w:val="32"/>
          <w:highlight w:val="none"/>
          <w:lang w:val="en-US" w:eastAsia="zh-CN"/>
        </w:rPr>
        <w:t>另外，</w:t>
      </w:r>
      <w:r>
        <w:rPr>
          <w:rFonts w:hint="eastAsia" w:ascii="仿宋_GB2312" w:hAnsi="仿宋_GB2312" w:eastAsia="仿宋_GB2312" w:cs="仿宋_GB2312"/>
          <w:sz w:val="32"/>
          <w:szCs w:val="32"/>
          <w:highlight w:val="none"/>
        </w:rPr>
        <w:t>投放环节</w:t>
      </w:r>
      <w:r>
        <w:rPr>
          <w:rFonts w:hint="eastAsia" w:ascii="仿宋_GB2312" w:hAnsi="仿宋_GB2312" w:eastAsia="仿宋_GB2312" w:cs="仿宋_GB2312"/>
          <w:sz w:val="32"/>
          <w:szCs w:val="32"/>
          <w:highlight w:val="none"/>
          <w:lang w:val="en-US" w:eastAsia="zh-CN"/>
        </w:rPr>
        <w:t>虽然</w:t>
      </w:r>
      <w:r>
        <w:rPr>
          <w:rFonts w:hint="eastAsia" w:ascii="仿宋_GB2312" w:hAnsi="仿宋_GB2312" w:eastAsia="仿宋_GB2312" w:cs="仿宋_GB2312"/>
          <w:sz w:val="32"/>
          <w:szCs w:val="32"/>
          <w:highlight w:val="none"/>
        </w:rPr>
        <w:t>配备分类收集的设施，</w:t>
      </w:r>
      <w:r>
        <w:rPr>
          <w:rFonts w:hint="eastAsia" w:ascii="仿宋_GB2312" w:hAnsi="仿宋_GB2312" w:eastAsia="仿宋_GB2312" w:cs="仿宋_GB2312"/>
          <w:sz w:val="32"/>
          <w:szCs w:val="32"/>
          <w:highlight w:val="none"/>
          <w:lang w:val="en-US" w:eastAsia="zh-CN"/>
        </w:rPr>
        <w:t>但</w:t>
      </w:r>
      <w:r>
        <w:rPr>
          <w:rFonts w:hint="eastAsia" w:ascii="仿宋_GB2312" w:hAnsi="仿宋_GB2312" w:eastAsia="仿宋_GB2312" w:cs="仿宋_GB2312"/>
          <w:sz w:val="32"/>
          <w:szCs w:val="32"/>
          <w:highlight w:val="none"/>
        </w:rPr>
        <w:t>分类运输、分类处置环节的设施配备普遍不足，垃圾</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先分后混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问题没有</w:t>
      </w:r>
      <w:r>
        <w:rPr>
          <w:rFonts w:hint="eastAsia" w:ascii="仿宋_GB2312" w:hAnsi="仿宋_GB2312" w:eastAsia="仿宋_GB2312" w:cs="仿宋_GB2312"/>
          <w:sz w:val="32"/>
          <w:szCs w:val="32"/>
          <w:highlight w:val="none"/>
          <w:lang w:val="en-US" w:eastAsia="zh-CN"/>
        </w:rPr>
        <w:t>得到</w:t>
      </w:r>
      <w:r>
        <w:rPr>
          <w:rFonts w:hint="eastAsia" w:ascii="仿宋_GB2312" w:hAnsi="仿宋_GB2312" w:eastAsia="仿宋_GB2312" w:cs="仿宋_GB2312"/>
          <w:sz w:val="32"/>
          <w:szCs w:val="32"/>
          <w:highlight w:val="none"/>
        </w:rPr>
        <w:t>明显解决</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垃圾分类、运输收集等现状，增加了再生资源回收的难度，降低了回收效率。</w:t>
      </w:r>
      <w:bookmarkStart w:id="109" w:name="_Toc7838"/>
    </w:p>
    <w:p>
      <w:pPr>
        <w:keepNext w:val="0"/>
        <w:keepLines w:val="0"/>
        <w:pageBreakBefore w:val="0"/>
        <w:widowControl w:val="0"/>
        <w:kinsoku/>
        <w:wordWrap/>
        <w:overflowPunct/>
        <w:topLinePunct w:val="0"/>
        <w:autoSpaceDE/>
        <w:autoSpaceDN/>
        <w:bidi w:val="0"/>
        <w:adjustRightInd/>
        <w:snapToGrid/>
        <w:spacing w:before="625" w:beforeLines="200" w:after="625" w:afterLines="200" w:line="560" w:lineRule="exact"/>
        <w:jc w:val="center"/>
        <w:textAlignment w:val="auto"/>
        <w:outlineLvl w:val="0"/>
        <w:rPr>
          <w:rFonts w:hint="eastAsia" w:ascii="黑体" w:hAnsi="黑体" w:eastAsia="黑体" w:cs="黑体"/>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625" w:beforeLines="200" w:after="625" w:afterLines="200" w:line="560" w:lineRule="exact"/>
        <w:jc w:val="center"/>
        <w:textAlignment w:val="auto"/>
        <w:outlineLvl w:val="0"/>
        <w:rPr>
          <w:rFonts w:hint="eastAsia" w:ascii="黑体" w:hAnsi="黑体" w:eastAsia="黑体" w:cs="黑体"/>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625" w:beforeLines="200" w:after="625" w:afterLines="200" w:line="560" w:lineRule="exact"/>
        <w:jc w:val="center"/>
        <w:textAlignment w:val="auto"/>
        <w:outlineLvl w:val="0"/>
        <w:rPr>
          <w:rFonts w:hint="eastAsia" w:ascii="黑体" w:hAnsi="黑体" w:eastAsia="黑体" w:cs="黑体"/>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625" w:beforeLines="200" w:after="625" w:afterLines="200" w:line="560" w:lineRule="exact"/>
        <w:jc w:val="center"/>
        <w:textAlignment w:val="auto"/>
        <w:outlineLvl w:val="0"/>
        <w:rPr>
          <w:rFonts w:hint="eastAsia" w:ascii="黑体" w:hAnsi="黑体" w:eastAsia="黑体" w:cs="黑体"/>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625" w:beforeLines="200" w:after="625" w:afterLines="200" w:line="560" w:lineRule="exact"/>
        <w:jc w:val="center"/>
        <w:textAlignment w:val="auto"/>
        <w:outlineLvl w:val="0"/>
        <w:rPr>
          <w:rFonts w:hint="eastAsia" w:ascii="黑体" w:hAnsi="黑体" w:eastAsia="黑体" w:cs="黑体"/>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625" w:beforeLines="200" w:after="625" w:afterLines="200" w:line="560" w:lineRule="exact"/>
        <w:jc w:val="center"/>
        <w:textAlignment w:val="auto"/>
        <w:outlineLvl w:val="0"/>
        <w:rPr>
          <w:rFonts w:hint="eastAsia" w:ascii="黑体" w:hAnsi="黑体" w:eastAsia="黑体" w:cs="黑体"/>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625" w:beforeLines="200" w:after="625" w:afterLines="200" w:line="560" w:lineRule="exact"/>
        <w:jc w:val="center"/>
        <w:textAlignment w:val="auto"/>
        <w:outlineLvl w:val="0"/>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第三章</w:t>
      </w:r>
      <w:r>
        <w:rPr>
          <w:rFonts w:hint="eastAsia" w:ascii="黑体" w:hAnsi="黑体" w:eastAsia="黑体" w:cs="黑体"/>
          <w:color w:val="auto"/>
          <w:sz w:val="32"/>
          <w:szCs w:val="32"/>
          <w:highlight w:val="none"/>
          <w:lang w:val="en-US" w:eastAsia="zh-CN"/>
        </w:rPr>
        <w:t xml:space="preserve"> </w:t>
      </w:r>
      <w:bookmarkEnd w:id="70"/>
      <w:bookmarkEnd w:id="71"/>
      <w:bookmarkEnd w:id="72"/>
      <w:bookmarkEnd w:id="73"/>
      <w:bookmarkEnd w:id="74"/>
      <w:bookmarkEnd w:id="75"/>
      <w:bookmarkEnd w:id="76"/>
      <w:bookmarkEnd w:id="77"/>
      <w:bookmarkEnd w:id="92"/>
      <w:bookmarkEnd w:id="93"/>
      <w:bookmarkEnd w:id="94"/>
      <w:r>
        <w:rPr>
          <w:rFonts w:hint="eastAsia" w:ascii="黑体" w:hAnsi="黑体" w:eastAsia="黑体" w:cs="黑体"/>
          <w:color w:val="auto"/>
          <w:sz w:val="32"/>
          <w:szCs w:val="32"/>
          <w:highlight w:val="none"/>
          <w:lang w:eastAsia="zh-CN"/>
        </w:rPr>
        <w:t>总体规划</w:t>
      </w:r>
      <w:bookmarkEnd w:id="109"/>
    </w:p>
    <w:p>
      <w:pPr>
        <w:keepNext w:val="0"/>
        <w:keepLines w:val="0"/>
        <w:pageBreakBefore w:val="0"/>
        <w:widowControl w:val="0"/>
        <w:numPr>
          <w:ilvl w:val="0"/>
          <w:numId w:val="0"/>
        </w:numPr>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10" w:name="_Toc13640"/>
      <w:r>
        <w:rPr>
          <w:rFonts w:hint="eastAsia" w:ascii="黑体" w:hAnsi="黑体" w:eastAsia="黑体" w:cs="黑体"/>
          <w:b w:val="0"/>
          <w:bCs w:val="0"/>
          <w:color w:val="auto"/>
          <w:sz w:val="32"/>
          <w:szCs w:val="32"/>
          <w:highlight w:val="none"/>
          <w:lang w:val="en-US" w:eastAsia="zh-CN"/>
        </w:rPr>
        <w:t>一、规划原则</w:t>
      </w:r>
      <w:bookmarkEnd w:id="110"/>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color w:val="auto"/>
          <w:sz w:val="32"/>
          <w:szCs w:val="32"/>
          <w:highlight w:val="none"/>
          <w:lang w:eastAsia="zh-CN"/>
        </w:rPr>
        <w:t>（一）坚持政府引导，规范市场运作</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充分调动发挥政府各方面的作用，规范市场秩序，提高</w:t>
      </w:r>
      <w:r>
        <w:rPr>
          <w:rFonts w:hint="eastAsia" w:ascii="仿宋_GB2312" w:hAnsi="仿宋_GB2312" w:eastAsia="仿宋_GB2312" w:cs="仿宋_GB2312"/>
          <w:sz w:val="32"/>
          <w:szCs w:val="32"/>
          <w:highlight w:val="none"/>
          <w:lang w:eastAsia="zh-CN"/>
        </w:rPr>
        <w:t>再生资源</w:t>
      </w:r>
      <w:r>
        <w:rPr>
          <w:rFonts w:hint="eastAsia" w:ascii="仿宋_GB2312" w:hAnsi="仿宋_GB2312" w:eastAsia="仿宋_GB2312" w:cs="仿宋_GB2312"/>
          <w:sz w:val="32"/>
          <w:szCs w:val="32"/>
          <w:highlight w:val="none"/>
        </w:rPr>
        <w:t>回收行业的经营管理水平和技术水平，点面结合，形成行业协调发展的良好局面</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鼓励市场主体大胆探索创新模式和技术融合，促进行业提质升级。</w:t>
      </w:r>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（二）结合实际情况，合理规划布局</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结合行业发展现状，对回收体系进行整体设计</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结合区域人口、面积、产业发展特色及要求，科学、合理规划设置回收网点，促进</w:t>
      </w:r>
      <w:r>
        <w:rPr>
          <w:rFonts w:hint="eastAsia" w:ascii="仿宋_GB2312" w:hAnsi="仿宋_GB2312" w:eastAsia="仿宋_GB2312" w:cs="仿宋_GB2312"/>
          <w:sz w:val="32"/>
          <w:szCs w:val="32"/>
          <w:highlight w:val="none"/>
          <w:lang w:eastAsia="zh-CN"/>
        </w:rPr>
        <w:t>再生资源</w:t>
      </w:r>
      <w:r>
        <w:rPr>
          <w:rFonts w:hint="eastAsia" w:ascii="仿宋_GB2312" w:hAnsi="仿宋_GB2312" w:eastAsia="仿宋_GB2312" w:cs="仿宋_GB2312"/>
          <w:sz w:val="32"/>
          <w:szCs w:val="32"/>
          <w:highlight w:val="none"/>
        </w:rPr>
        <w:t>回收行业从松散粗放型向集约型、规模型、产业型、效益型方向转化。</w:t>
      </w:r>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（三）加强技术应用，提升回收水平</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充分利用互联网、大数据、物联网新技术手段，促进“互联网+回收”的融合发展。</w:t>
      </w:r>
      <w:r>
        <w:rPr>
          <w:rFonts w:hint="eastAsia" w:ascii="仿宋_GB2312" w:hAnsi="仿宋_GB2312" w:eastAsia="仿宋_GB2312" w:cs="仿宋_GB2312"/>
          <w:sz w:val="32"/>
          <w:szCs w:val="32"/>
          <w:highlight w:val="none"/>
          <w:lang w:eastAsia="zh-CN"/>
        </w:rPr>
        <w:t>再生资源</w:t>
      </w:r>
      <w:r>
        <w:rPr>
          <w:rFonts w:hint="eastAsia" w:ascii="仿宋_GB2312" w:hAnsi="仿宋_GB2312" w:eastAsia="仿宋_GB2312" w:cs="仿宋_GB2312"/>
          <w:sz w:val="32"/>
          <w:szCs w:val="32"/>
          <w:highlight w:val="none"/>
        </w:rPr>
        <w:t>网点布局应与产业发展相适应、与周围环境保持协调，使传统初级的垃圾回收和废旧物资处理的单一功能逐步向现代化的综合回收利用的复合功能升级，使其成为提升环境质量和产业发展水平的重要动力。</w:t>
      </w:r>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（四）协同垃圾分类，提升回收效率</w:t>
      </w:r>
    </w:p>
    <w:p>
      <w:pPr>
        <w:keepNext w:val="0"/>
        <w:keepLines w:val="0"/>
        <w:pageBreakBefore w:val="0"/>
        <w:widowControl w:val="0"/>
        <w:numPr>
          <w:ilvl w:val="0"/>
          <w:numId w:val="0"/>
        </w:numPr>
        <w:tabs>
          <w:tab w:val="left" w:pos="312"/>
        </w:tabs>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仿宋_GB2312" w:hAnsi="仿宋_GB2312" w:eastAsia="仿宋_GB2312" w:cs="仿宋_GB2312"/>
          <w:sz w:val="32"/>
          <w:szCs w:val="32"/>
          <w:highlight w:val="none"/>
        </w:rPr>
        <w:t>推动生活垃圾分类清运网络和</w:t>
      </w:r>
      <w:r>
        <w:rPr>
          <w:rFonts w:hint="eastAsia" w:ascii="仿宋_GB2312" w:hAnsi="仿宋_GB2312" w:eastAsia="仿宋_GB2312" w:cs="仿宋_GB2312"/>
          <w:sz w:val="32"/>
          <w:szCs w:val="32"/>
          <w:highlight w:val="none"/>
          <w:lang w:eastAsia="zh-CN"/>
        </w:rPr>
        <w:t>再生资源</w:t>
      </w:r>
      <w:r>
        <w:rPr>
          <w:rFonts w:hint="eastAsia" w:ascii="仿宋_GB2312" w:hAnsi="仿宋_GB2312" w:eastAsia="仿宋_GB2312" w:cs="仿宋_GB2312"/>
          <w:sz w:val="32"/>
          <w:szCs w:val="32"/>
          <w:highlight w:val="none"/>
        </w:rPr>
        <w:t>收运网络的融合发展，促进垃圾资源化、减量化处理。在加强协调管理的前提下，建立垃圾回收、处理与</w:t>
      </w:r>
      <w:r>
        <w:rPr>
          <w:rFonts w:hint="eastAsia" w:ascii="仿宋_GB2312" w:hAnsi="仿宋_GB2312" w:eastAsia="仿宋_GB2312" w:cs="仿宋_GB2312"/>
          <w:sz w:val="32"/>
          <w:szCs w:val="32"/>
          <w:highlight w:val="none"/>
          <w:lang w:eastAsia="zh-CN"/>
        </w:rPr>
        <w:t>再生资源</w:t>
      </w:r>
      <w:r>
        <w:rPr>
          <w:rFonts w:hint="eastAsia" w:ascii="仿宋_GB2312" w:hAnsi="仿宋_GB2312" w:eastAsia="仿宋_GB2312" w:cs="仿宋_GB2312"/>
          <w:sz w:val="32"/>
          <w:szCs w:val="32"/>
          <w:highlight w:val="none"/>
        </w:rPr>
        <w:t>回收的一体化联动机制，促进废纸、废塑料、废玻璃、废金属、废织物等各类垃圾的分类</w:t>
      </w:r>
      <w:r>
        <w:rPr>
          <w:rFonts w:hint="eastAsia" w:ascii="仿宋_GB2312" w:hAnsi="仿宋_GB2312" w:eastAsia="仿宋_GB2312" w:cs="仿宋_GB2312"/>
          <w:sz w:val="32"/>
          <w:szCs w:val="32"/>
          <w:highlight w:val="none"/>
          <w:lang w:eastAsia="zh-CN"/>
        </w:rPr>
        <w:t>分拣</w:t>
      </w:r>
      <w:r>
        <w:rPr>
          <w:rFonts w:hint="eastAsia" w:ascii="仿宋_GB2312" w:hAnsi="仿宋_GB2312" w:eastAsia="仿宋_GB2312" w:cs="仿宋_GB2312"/>
          <w:sz w:val="32"/>
          <w:szCs w:val="32"/>
          <w:highlight w:val="none"/>
        </w:rPr>
        <w:t>与回收利用，提升生活垃圾资源化利用水平。</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11" w:name="_Toc29384"/>
      <w:r>
        <w:rPr>
          <w:rFonts w:hint="eastAsia" w:ascii="黑体" w:hAnsi="黑体" w:eastAsia="黑体" w:cs="黑体"/>
          <w:b w:val="0"/>
          <w:bCs w:val="0"/>
          <w:color w:val="auto"/>
          <w:sz w:val="32"/>
          <w:szCs w:val="32"/>
          <w:highlight w:val="none"/>
          <w:lang w:val="en-US" w:eastAsia="zh-CN"/>
        </w:rPr>
        <w:t>二、规划目标</w:t>
      </w:r>
      <w:bookmarkEnd w:id="111"/>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充分发挥</w:t>
      </w:r>
      <w:r>
        <w:rPr>
          <w:rFonts w:hint="eastAsia" w:ascii="仿宋_GB2312" w:hAnsi="仿宋_GB2312" w:eastAsia="仿宋_GB2312" w:cs="仿宋_GB2312"/>
          <w:color w:val="auto"/>
          <w:sz w:val="32"/>
          <w:szCs w:val="32"/>
          <w:highlight w:val="none"/>
          <w:lang w:eastAsia="zh-CN"/>
        </w:rPr>
        <w:t>横荷街道</w:t>
      </w:r>
      <w:r>
        <w:rPr>
          <w:rFonts w:hint="eastAsia" w:ascii="仿宋_GB2312" w:hAnsi="仿宋_GB2312" w:eastAsia="仿宋_GB2312" w:cs="仿宋_GB2312"/>
          <w:color w:val="auto"/>
          <w:sz w:val="32"/>
          <w:szCs w:val="32"/>
          <w:highlight w:val="none"/>
        </w:rPr>
        <w:t>的产业优势，继续</w:t>
      </w:r>
      <w:r>
        <w:rPr>
          <w:rFonts w:hint="eastAsia" w:ascii="仿宋_GB2312" w:hAnsi="仿宋_GB2312" w:eastAsia="仿宋_GB2312" w:cs="仿宋_GB2312"/>
          <w:color w:val="auto"/>
          <w:sz w:val="32"/>
          <w:szCs w:val="32"/>
          <w:highlight w:val="none"/>
          <w:lang w:eastAsia="zh-CN"/>
        </w:rPr>
        <w:t>争取上级</w:t>
      </w:r>
      <w:r>
        <w:rPr>
          <w:rFonts w:hint="eastAsia" w:ascii="仿宋_GB2312" w:hAnsi="仿宋_GB2312" w:eastAsia="仿宋_GB2312" w:cs="仿宋_GB2312"/>
          <w:color w:val="auto"/>
          <w:sz w:val="32"/>
          <w:szCs w:val="32"/>
          <w:highlight w:val="none"/>
        </w:rPr>
        <w:t>政府支持，</w:t>
      </w:r>
      <w:r>
        <w:rPr>
          <w:rFonts w:hint="eastAsia" w:ascii="仿宋_GB2312" w:hAnsi="仿宋_GB2312" w:eastAsia="仿宋_GB2312" w:cs="仿宋_GB2312"/>
          <w:b w:val="0"/>
          <w:bCs w:val="0"/>
          <w:color w:val="auto"/>
          <w:sz w:val="32"/>
          <w:szCs w:val="32"/>
          <w:highlight w:val="none"/>
          <w:lang w:val="en-US" w:eastAsia="zh-CN"/>
        </w:rPr>
        <w:t>争取到2028年，</w:t>
      </w:r>
      <w:r>
        <w:rPr>
          <w:rFonts w:hint="eastAsia" w:ascii="仿宋_GB2312" w:hAnsi="仿宋_GB2312" w:eastAsia="仿宋_GB2312" w:cs="仿宋_GB2312"/>
          <w:color w:val="auto"/>
          <w:sz w:val="32"/>
          <w:szCs w:val="32"/>
          <w:highlight w:val="none"/>
          <w:lang w:val="en-US" w:eastAsia="zh-CN"/>
        </w:rPr>
        <w:t>根据人口、产业发展实际情况，</w:t>
      </w:r>
      <w:r>
        <w:rPr>
          <w:rFonts w:hint="eastAsia" w:ascii="仿宋_GB2312" w:hAnsi="仿宋_GB2312" w:eastAsia="仿宋_GB2312" w:cs="仿宋_GB2312"/>
          <w:color w:val="auto"/>
          <w:sz w:val="32"/>
          <w:szCs w:val="32"/>
          <w:highlight w:val="none"/>
        </w:rPr>
        <w:t>布局</w:t>
      </w:r>
      <w:r>
        <w:rPr>
          <w:rFonts w:hint="eastAsia" w:ascii="仿宋_GB2312" w:hAnsi="仿宋_GB2312" w:eastAsia="仿宋_GB2312" w:cs="仿宋_GB2312"/>
          <w:color w:val="auto"/>
          <w:sz w:val="32"/>
          <w:szCs w:val="32"/>
          <w:highlight w:val="none"/>
          <w:lang w:val="en-US" w:eastAsia="zh-CN"/>
        </w:rPr>
        <w:t>建设覆盖“社区回收网点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中转站——分拣中心”的</w:t>
      </w:r>
      <w:r>
        <w:rPr>
          <w:rFonts w:hint="eastAsia" w:ascii="仿宋_GB2312" w:hAnsi="仿宋_GB2312" w:eastAsia="仿宋_GB2312" w:cs="仿宋_GB2312"/>
          <w:b w:val="0"/>
          <w:bCs w:val="0"/>
          <w:color w:val="auto"/>
          <w:sz w:val="32"/>
          <w:szCs w:val="32"/>
          <w:highlight w:val="none"/>
          <w:lang w:val="en-US" w:eastAsia="zh-CN"/>
        </w:rPr>
        <w:t>再生资源三级回收网点体系</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按照“政府引导、市场运作、多元投入、全民参与”的方式，支撑横荷街道构建</w:t>
      </w:r>
      <w:r>
        <w:rPr>
          <w:rFonts w:hint="eastAsia" w:ascii="仿宋_GB2312" w:hAnsi="仿宋_GB2312" w:eastAsia="仿宋_GB2312" w:cs="仿宋_GB2312"/>
          <w:color w:val="auto"/>
          <w:sz w:val="32"/>
          <w:szCs w:val="32"/>
          <w:highlight w:val="none"/>
        </w:rPr>
        <w:t>布局合理、网络健全、设施适用、功能完善、管理科学的再生资源回收体系，逐步实现应收尽收，</w:t>
      </w:r>
      <w:r>
        <w:rPr>
          <w:rFonts w:hint="eastAsia" w:ascii="仿宋_GB2312" w:hAnsi="仿宋_GB2312" w:eastAsia="仿宋_GB2312" w:cs="仿宋_GB2312"/>
          <w:color w:val="auto"/>
          <w:sz w:val="32"/>
          <w:szCs w:val="32"/>
          <w:highlight w:val="none"/>
          <w:lang w:val="en-US" w:eastAsia="zh-CN"/>
        </w:rPr>
        <w:t>有效促进生活垃圾末端处理的减量化和再生资源回收的增量化，</w:t>
      </w:r>
      <w:r>
        <w:rPr>
          <w:rFonts w:hint="eastAsia" w:ascii="仿宋_GB2312" w:hAnsi="仿宋_GB2312" w:eastAsia="仿宋_GB2312" w:cs="仿宋_GB2312"/>
          <w:color w:val="auto"/>
          <w:sz w:val="32"/>
          <w:szCs w:val="32"/>
          <w:highlight w:val="none"/>
        </w:rPr>
        <w:t>进一步提高</w:t>
      </w:r>
      <w:r>
        <w:rPr>
          <w:rFonts w:hint="eastAsia" w:ascii="仿宋_GB2312" w:hAnsi="仿宋_GB2312" w:eastAsia="仿宋_GB2312" w:cs="仿宋_GB2312"/>
          <w:color w:val="auto"/>
          <w:sz w:val="32"/>
          <w:szCs w:val="32"/>
          <w:highlight w:val="none"/>
          <w:lang w:eastAsia="zh-CN"/>
        </w:rPr>
        <w:t>横荷街道</w:t>
      </w:r>
      <w:r>
        <w:rPr>
          <w:rFonts w:hint="eastAsia" w:ascii="仿宋_GB2312" w:hAnsi="仿宋_GB2312" w:eastAsia="仿宋_GB2312" w:cs="仿宋_GB2312"/>
          <w:color w:val="auto"/>
          <w:sz w:val="32"/>
          <w:szCs w:val="32"/>
          <w:highlight w:val="none"/>
        </w:rPr>
        <w:t>再生资源产业化水平，</w:t>
      </w:r>
      <w:r>
        <w:rPr>
          <w:rFonts w:hint="eastAsia" w:ascii="仿宋_GB2312" w:hAnsi="仿宋_GB2312" w:eastAsia="仿宋_GB2312" w:cs="仿宋_GB2312"/>
          <w:b w:val="0"/>
          <w:bCs w:val="0"/>
          <w:color w:val="auto"/>
          <w:sz w:val="32"/>
          <w:szCs w:val="32"/>
          <w:highlight w:val="none"/>
          <w:lang w:val="en-US" w:eastAsia="zh-CN"/>
        </w:rPr>
        <w:t>为推进清城区生态文明建设作出应有贡献。</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w:t>
      </w:r>
      <w:r>
        <w:rPr>
          <w:rFonts w:hint="eastAsia" w:ascii="仿宋_GB2312" w:hAnsi="仿宋_GB2312" w:eastAsia="仿宋_GB2312" w:cs="仿宋_GB2312"/>
          <w:b/>
          <w:bCs/>
          <w:color w:val="auto"/>
          <w:sz w:val="32"/>
          <w:szCs w:val="32"/>
          <w:highlight w:val="none"/>
        </w:rPr>
        <w:t>再生资源回收率显著提高。</w:t>
      </w:r>
      <w:r>
        <w:rPr>
          <w:rFonts w:hint="eastAsia" w:ascii="仿宋_GB2312" w:hAnsi="仿宋_GB2312" w:eastAsia="仿宋_GB2312" w:cs="仿宋_GB2312"/>
          <w:b w:val="0"/>
          <w:bCs w:val="0"/>
          <w:color w:val="auto"/>
          <w:sz w:val="32"/>
          <w:szCs w:val="32"/>
          <w:highlight w:val="none"/>
          <w:lang w:eastAsia="zh-CN"/>
        </w:rPr>
        <w:t>大力推进再生资源回收服务进社区、进小区。新建社区、小区要预留再生资源</w:t>
      </w:r>
      <w:r>
        <w:rPr>
          <w:rFonts w:hint="eastAsia" w:ascii="仿宋_GB2312" w:hAnsi="仿宋_GB2312" w:eastAsia="仿宋_GB2312" w:cs="仿宋_GB2312"/>
          <w:b w:val="0"/>
          <w:bCs w:val="0"/>
          <w:color w:val="auto"/>
          <w:sz w:val="32"/>
          <w:szCs w:val="32"/>
          <w:highlight w:val="none"/>
          <w:lang w:val="en-US" w:eastAsia="zh-CN"/>
        </w:rPr>
        <w:t>社区</w:t>
      </w:r>
      <w:r>
        <w:rPr>
          <w:rFonts w:hint="eastAsia" w:ascii="仿宋_GB2312" w:hAnsi="仿宋_GB2312" w:eastAsia="仿宋_GB2312" w:cs="仿宋_GB2312"/>
          <w:b w:val="0"/>
          <w:bCs w:val="0"/>
          <w:color w:val="auto"/>
          <w:sz w:val="32"/>
          <w:szCs w:val="32"/>
          <w:highlight w:val="none"/>
          <w:lang w:eastAsia="zh-CN"/>
        </w:rPr>
        <w:t>回收</w:t>
      </w:r>
      <w:r>
        <w:rPr>
          <w:rFonts w:hint="eastAsia" w:ascii="仿宋_GB2312" w:hAnsi="仿宋_GB2312" w:eastAsia="仿宋_GB2312" w:cs="仿宋_GB2312"/>
          <w:b w:val="0"/>
          <w:bCs w:val="0"/>
          <w:color w:val="auto"/>
          <w:sz w:val="32"/>
          <w:szCs w:val="32"/>
          <w:highlight w:val="none"/>
          <w:lang w:val="en-US" w:eastAsia="zh-CN"/>
        </w:rPr>
        <w:t>网点</w:t>
      </w:r>
      <w:r>
        <w:rPr>
          <w:rFonts w:hint="eastAsia" w:ascii="仿宋_GB2312" w:hAnsi="仿宋_GB2312" w:eastAsia="仿宋_GB2312" w:cs="仿宋_GB2312"/>
          <w:b w:val="0"/>
          <w:bCs w:val="0"/>
          <w:color w:val="auto"/>
          <w:sz w:val="32"/>
          <w:szCs w:val="32"/>
          <w:highlight w:val="none"/>
          <w:lang w:eastAsia="zh-CN"/>
        </w:rPr>
        <w:t>位置，明确建设要求；对原有社区、小区要逐步设立再生资源</w:t>
      </w:r>
      <w:r>
        <w:rPr>
          <w:rFonts w:hint="eastAsia" w:ascii="仿宋_GB2312" w:hAnsi="仿宋_GB2312" w:eastAsia="仿宋_GB2312" w:cs="仿宋_GB2312"/>
          <w:b w:val="0"/>
          <w:bCs w:val="0"/>
          <w:color w:val="auto"/>
          <w:sz w:val="32"/>
          <w:szCs w:val="32"/>
          <w:highlight w:val="none"/>
          <w:lang w:val="en-US" w:eastAsia="zh-CN"/>
        </w:rPr>
        <w:t>社区</w:t>
      </w:r>
      <w:r>
        <w:rPr>
          <w:rFonts w:hint="eastAsia" w:ascii="仿宋_GB2312" w:hAnsi="仿宋_GB2312" w:eastAsia="仿宋_GB2312" w:cs="仿宋_GB2312"/>
          <w:b w:val="0"/>
          <w:bCs w:val="0"/>
          <w:color w:val="auto"/>
          <w:sz w:val="32"/>
          <w:szCs w:val="32"/>
          <w:highlight w:val="none"/>
          <w:lang w:eastAsia="zh-CN"/>
        </w:rPr>
        <w:t>回收</w:t>
      </w:r>
      <w:r>
        <w:rPr>
          <w:rFonts w:hint="eastAsia" w:ascii="仿宋_GB2312" w:hAnsi="仿宋_GB2312" w:eastAsia="仿宋_GB2312" w:cs="仿宋_GB2312"/>
          <w:b w:val="0"/>
          <w:bCs w:val="0"/>
          <w:color w:val="auto"/>
          <w:sz w:val="32"/>
          <w:szCs w:val="32"/>
          <w:highlight w:val="none"/>
          <w:lang w:val="en-US" w:eastAsia="zh-CN"/>
        </w:rPr>
        <w:t>网点</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因地制宜</w:t>
      </w:r>
      <w:r>
        <w:rPr>
          <w:rFonts w:hint="eastAsia" w:ascii="仿宋_GB2312" w:hAnsi="仿宋_GB2312" w:eastAsia="仿宋_GB2312" w:cs="仿宋_GB2312"/>
          <w:b w:val="0"/>
          <w:bCs w:val="0"/>
          <w:color w:val="auto"/>
          <w:sz w:val="32"/>
          <w:szCs w:val="32"/>
          <w:highlight w:val="none"/>
          <w:lang w:val="en-US" w:eastAsia="zh-CN"/>
        </w:rPr>
        <w:t>构建横荷街道再生资源三级回收网点体系，实现横荷街道全域再生资源回收网点全覆盖，</w:t>
      </w:r>
      <w:r>
        <w:rPr>
          <w:rFonts w:hint="eastAsia" w:ascii="仿宋_GB2312" w:hAnsi="仿宋_GB2312" w:eastAsia="仿宋_GB2312" w:cs="仿宋_GB2312"/>
          <w:color w:val="auto"/>
          <w:sz w:val="32"/>
          <w:szCs w:val="32"/>
          <w:highlight w:val="none"/>
          <w:lang w:val="en-US" w:eastAsia="zh-CN"/>
        </w:rPr>
        <w:t>再生资源回收</w:t>
      </w:r>
      <w:r>
        <w:rPr>
          <w:rFonts w:hint="eastAsia" w:ascii="仿宋_GB2312" w:hAnsi="仿宋_GB2312" w:eastAsia="仿宋_GB2312" w:cs="仿宋_GB2312"/>
          <w:color w:val="auto"/>
          <w:sz w:val="32"/>
          <w:szCs w:val="32"/>
          <w:highlight w:val="none"/>
        </w:rPr>
        <w:t>利用率达到</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0%以上。</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3" w:firstLineChars="200"/>
        <w:jc w:val="both"/>
        <w:textAlignment w:val="auto"/>
        <w:rPr>
          <w:rFonts w:hint="eastAsia" w:ascii="黑体" w:hAnsi="黑体" w:eastAsia="黑体" w:cs="黑体"/>
          <w:b w:val="0"/>
          <w:bCs w:val="0"/>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w:t>
      </w:r>
      <w:r>
        <w:rPr>
          <w:rFonts w:hint="eastAsia" w:ascii="仿宋_GB2312" w:hAnsi="仿宋_GB2312" w:eastAsia="仿宋_GB2312" w:cs="仿宋_GB2312"/>
          <w:b/>
          <w:bCs/>
          <w:color w:val="auto"/>
          <w:sz w:val="32"/>
          <w:szCs w:val="32"/>
          <w:highlight w:val="none"/>
        </w:rPr>
        <w:t>智慧化再生资源回收体系基本建成。</w:t>
      </w:r>
      <w:r>
        <w:rPr>
          <w:rFonts w:hint="eastAsia" w:ascii="仿宋_GB2312" w:hAnsi="仿宋_GB2312" w:eastAsia="仿宋_GB2312" w:cs="仿宋_GB2312"/>
          <w:b w:val="0"/>
          <w:bCs w:val="0"/>
          <w:color w:val="auto"/>
          <w:sz w:val="32"/>
          <w:szCs w:val="32"/>
          <w:highlight w:val="none"/>
          <w:lang w:val="en-US" w:eastAsia="zh-CN"/>
        </w:rPr>
        <w:t>通过引进或培育再生资源回收处理企业，在街道办的指导下建设科学、合理的智能回收服务网点，并实现网格化服务。以社会化投入和市场化运作的方式，配备再生资源智能回收箱、再生资源智能物流回收车等设备，完善分拣中心等设施，构建“横荷街道再生资源管理智慧云平台”及展示中心，</w:t>
      </w:r>
      <w:r>
        <w:rPr>
          <w:rFonts w:hint="eastAsia" w:ascii="仿宋_GB2312" w:hAnsi="仿宋_GB2312" w:eastAsia="仿宋_GB2312" w:cs="仿宋_GB2312"/>
          <w:b w:val="0"/>
          <w:bCs w:val="0"/>
          <w:color w:val="auto"/>
          <w:sz w:val="32"/>
          <w:szCs w:val="32"/>
          <w:highlight w:val="none"/>
        </w:rPr>
        <w:t>基本建成再生资源回收</w:t>
      </w:r>
      <w:r>
        <w:rPr>
          <w:rFonts w:hint="eastAsia" w:ascii="仿宋_GB2312" w:hAnsi="仿宋_GB2312" w:eastAsia="仿宋_GB2312" w:cs="仿宋_GB2312"/>
          <w:b w:val="0"/>
          <w:bCs w:val="0"/>
          <w:color w:val="auto"/>
          <w:sz w:val="32"/>
          <w:szCs w:val="32"/>
          <w:highlight w:val="none"/>
          <w:lang w:val="en-US" w:eastAsia="zh-CN"/>
        </w:rPr>
        <w:t>绿色</w:t>
      </w:r>
      <w:r>
        <w:rPr>
          <w:rFonts w:hint="eastAsia" w:ascii="仿宋_GB2312" w:hAnsi="仿宋_GB2312" w:eastAsia="仿宋_GB2312" w:cs="仿宋_GB2312"/>
          <w:b w:val="0"/>
          <w:bCs w:val="0"/>
          <w:color w:val="auto"/>
          <w:sz w:val="32"/>
          <w:szCs w:val="32"/>
          <w:highlight w:val="none"/>
        </w:rPr>
        <w:t>智慧</w:t>
      </w:r>
      <w:r>
        <w:rPr>
          <w:rFonts w:hint="eastAsia" w:ascii="仿宋_GB2312" w:hAnsi="仿宋_GB2312" w:eastAsia="仿宋_GB2312" w:cs="仿宋_GB2312"/>
          <w:b w:val="0"/>
          <w:bCs w:val="0"/>
          <w:color w:val="auto"/>
          <w:sz w:val="32"/>
          <w:szCs w:val="32"/>
          <w:highlight w:val="none"/>
          <w:lang w:val="en-US" w:eastAsia="zh-CN"/>
        </w:rPr>
        <w:t>型</w:t>
      </w:r>
      <w:r>
        <w:rPr>
          <w:rFonts w:hint="eastAsia" w:ascii="仿宋_GB2312" w:hAnsi="仿宋_GB2312" w:eastAsia="仿宋_GB2312" w:cs="仿宋_GB2312"/>
          <w:b w:val="0"/>
          <w:bCs w:val="0"/>
          <w:color w:val="auto"/>
          <w:sz w:val="32"/>
          <w:szCs w:val="32"/>
          <w:highlight w:val="none"/>
        </w:rPr>
        <w:t>管理体系</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12" w:name="_Toc1022"/>
      <w:r>
        <w:rPr>
          <w:rFonts w:hint="eastAsia" w:ascii="黑体" w:hAnsi="黑体" w:eastAsia="黑体" w:cs="黑体"/>
          <w:b w:val="0"/>
          <w:bCs w:val="0"/>
          <w:color w:val="auto"/>
          <w:sz w:val="32"/>
          <w:szCs w:val="32"/>
          <w:highlight w:val="none"/>
          <w:lang w:val="en-US" w:eastAsia="zh-CN"/>
        </w:rPr>
        <w:t>三、规划策略</w:t>
      </w:r>
      <w:bookmarkEnd w:id="112"/>
    </w:p>
    <w:p>
      <w:pPr>
        <w:pageBreakBefore w:val="0"/>
        <w:kinsoku/>
        <w:overflowPunct/>
        <w:topLinePunct w:val="0"/>
        <w:autoSpaceDE/>
        <w:autoSpaceDN/>
        <w:bidi w:val="0"/>
        <w:spacing w:line="560" w:lineRule="exact"/>
        <w:ind w:firstLine="640" w:firstLineChars="200"/>
        <w:rPr>
          <w:rFonts w:hint="eastAsia"/>
          <w:lang w:eastAsia="zh-CN"/>
        </w:rPr>
      </w:pPr>
      <w:r>
        <w:rPr>
          <w:rFonts w:hint="eastAsia" w:ascii="仿宋_GB2312" w:hAnsi="仿宋_GB2312" w:eastAsia="仿宋_GB2312" w:cs="仿宋_GB2312"/>
          <w:color w:val="auto"/>
          <w:kern w:val="0"/>
          <w:sz w:val="32"/>
          <w:szCs w:val="32"/>
          <w:highlight w:val="none"/>
          <w:lang w:eastAsia="zh-CN" w:bidi="ar"/>
        </w:rPr>
        <w:t>从源头把控促进分类收集，以“两网融合”促进三级收运体系建设</w:t>
      </w:r>
      <w:r>
        <w:rPr>
          <w:rFonts w:hint="eastAsia" w:ascii="仿宋_GB2312" w:hAnsi="仿宋_GB2312" w:eastAsia="仿宋_GB2312" w:cs="仿宋_GB2312"/>
          <w:color w:val="auto"/>
          <w:kern w:val="0"/>
          <w:sz w:val="32"/>
          <w:szCs w:val="32"/>
          <w:highlight w:val="none"/>
          <w:lang w:bidi="ar"/>
        </w:rPr>
        <w:t>。</w:t>
      </w:r>
      <w:bookmarkStart w:id="113" w:name="_Toc26938"/>
      <w:bookmarkStart w:id="114" w:name="_Toc27570"/>
      <w:bookmarkStart w:id="115" w:name="_Toc22689"/>
      <w:r>
        <w:rPr>
          <w:rFonts w:hint="eastAsia" w:ascii="仿宋_GB2312" w:hAnsi="仿宋_GB2312" w:eastAsia="仿宋_GB2312" w:cs="仿宋_GB2312"/>
          <w:color w:val="auto"/>
          <w:kern w:val="0"/>
          <w:sz w:val="32"/>
          <w:szCs w:val="32"/>
          <w:highlight w:val="none"/>
          <w:lang w:eastAsia="zh-CN" w:bidi="ar"/>
        </w:rPr>
        <w:t>为保障资源的集约化利用，规划将横荷街道环卫系统和再生资源运输系统两个网络进行有机结合，对生活垃圾投放收集、清运中转、终端处置进行统筹规划，实现投放点整合统一、作业队伍整编、设施场地共享等，补齐清运系统资源二次利用的“最后一块短板”。</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16" w:name="_Toc18602"/>
      <w:r>
        <w:rPr>
          <w:rFonts w:hint="eastAsia" w:ascii="黑体" w:hAnsi="黑体" w:eastAsia="黑体" w:cs="黑体"/>
          <w:b w:val="0"/>
          <w:bCs w:val="0"/>
          <w:color w:val="auto"/>
          <w:sz w:val="32"/>
          <w:szCs w:val="32"/>
          <w:highlight w:val="none"/>
          <w:lang w:val="en-US" w:eastAsia="zh-CN"/>
        </w:rPr>
        <w:t>四、规划思路</w:t>
      </w:r>
      <w:bookmarkEnd w:id="116"/>
    </w:p>
    <w:p>
      <w:pPr>
        <w:keepNext w:val="0"/>
        <w:keepLines w:val="0"/>
        <w:pageBreakBefore w:val="0"/>
        <w:widowControl w:val="0"/>
        <w:numPr>
          <w:ilvl w:val="0"/>
          <w:numId w:val="0"/>
        </w:numPr>
        <w:tabs>
          <w:tab w:val="left" w:pos="312"/>
        </w:tabs>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在</w:t>
      </w:r>
      <w:r>
        <w:rPr>
          <w:rFonts w:hint="eastAsia" w:ascii="仿宋_GB2312" w:hAnsi="仿宋_GB2312" w:eastAsia="仿宋_GB2312" w:cs="仿宋_GB2312"/>
          <w:color w:val="auto"/>
          <w:sz w:val="32"/>
          <w:szCs w:val="32"/>
          <w:highlight w:val="none"/>
          <w:lang w:val="en-US" w:eastAsia="zh-CN"/>
        </w:rPr>
        <w:t>横荷街道的</w:t>
      </w:r>
      <w:r>
        <w:rPr>
          <w:rFonts w:hint="eastAsia" w:ascii="仿宋_GB2312" w:hAnsi="仿宋_GB2312" w:eastAsia="仿宋_GB2312" w:cs="仿宋_GB2312"/>
          <w:color w:val="auto"/>
          <w:sz w:val="32"/>
          <w:szCs w:val="32"/>
          <w:highlight w:val="none"/>
        </w:rPr>
        <w:t>统筹</w:t>
      </w:r>
      <w:r>
        <w:rPr>
          <w:rFonts w:hint="eastAsia" w:ascii="仿宋_GB2312" w:hAnsi="仿宋_GB2312" w:eastAsia="仿宋_GB2312" w:cs="仿宋_GB2312"/>
          <w:color w:val="auto"/>
          <w:sz w:val="32"/>
          <w:szCs w:val="32"/>
          <w:highlight w:val="none"/>
          <w:lang w:val="en-US" w:eastAsia="zh-CN"/>
        </w:rPr>
        <w:t>部署下，</w:t>
      </w:r>
      <w:r>
        <w:rPr>
          <w:rFonts w:hint="eastAsia" w:ascii="仿宋_GB2312" w:hAnsi="仿宋_GB2312" w:eastAsia="仿宋_GB2312" w:cs="仿宋_GB2312"/>
          <w:color w:val="auto"/>
          <w:sz w:val="32"/>
          <w:szCs w:val="32"/>
          <w:highlight w:val="none"/>
        </w:rPr>
        <w:t>以</w:t>
      </w:r>
      <w:r>
        <w:rPr>
          <w:rFonts w:hint="eastAsia" w:ascii="仿宋_GB2312" w:hAnsi="仿宋_GB2312" w:eastAsia="仿宋_GB2312" w:cs="仿宋_GB2312"/>
          <w:color w:val="auto"/>
          <w:sz w:val="32"/>
          <w:szCs w:val="32"/>
          <w:highlight w:val="none"/>
          <w:lang w:val="en-US" w:eastAsia="zh-CN"/>
        </w:rPr>
        <w:t>构建有市场竞争力的再生资源收运体系为目标，统筹全街、</w:t>
      </w:r>
      <w:r>
        <w:rPr>
          <w:rFonts w:hint="eastAsia" w:ascii="仿宋_GB2312" w:hAnsi="仿宋_GB2312" w:eastAsia="仿宋_GB2312" w:cs="仿宋_GB2312"/>
          <w:color w:val="auto"/>
          <w:sz w:val="32"/>
          <w:szCs w:val="32"/>
          <w:highlight w:val="none"/>
        </w:rPr>
        <w:t>因地制宜</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统一规划、合理布局、规范建设</w:t>
      </w:r>
      <w:r>
        <w:rPr>
          <w:rFonts w:hint="eastAsia" w:ascii="仿宋_GB2312" w:hAnsi="仿宋_GB2312" w:eastAsia="仿宋_GB2312" w:cs="仿宋_GB2312"/>
          <w:color w:val="auto"/>
          <w:sz w:val="32"/>
          <w:szCs w:val="32"/>
          <w:highlight w:val="none"/>
          <w:lang w:val="en-US" w:eastAsia="zh-CN"/>
        </w:rPr>
        <w:t>横荷街道再生资源三级回收网点</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有序</w:t>
      </w:r>
      <w:r>
        <w:rPr>
          <w:rFonts w:hint="eastAsia" w:ascii="仿宋_GB2312" w:hAnsi="仿宋_GB2312" w:eastAsia="仿宋_GB2312" w:cs="仿宋_GB2312"/>
          <w:color w:val="auto"/>
          <w:sz w:val="32"/>
          <w:szCs w:val="32"/>
          <w:highlight w:val="none"/>
        </w:rPr>
        <w:t>开展</w:t>
      </w:r>
      <w:r>
        <w:rPr>
          <w:rFonts w:hint="eastAsia" w:ascii="仿宋_GB2312" w:hAnsi="仿宋_GB2312" w:eastAsia="仿宋_GB2312" w:cs="仿宋_GB2312"/>
          <w:color w:val="auto"/>
          <w:sz w:val="32"/>
          <w:szCs w:val="32"/>
          <w:highlight w:val="none"/>
          <w:lang w:val="en-US" w:eastAsia="zh-CN"/>
        </w:rPr>
        <w:t>横荷街道再生资源</w:t>
      </w:r>
      <w:r>
        <w:rPr>
          <w:rFonts w:hint="eastAsia" w:ascii="仿宋_GB2312" w:hAnsi="仿宋_GB2312" w:eastAsia="仿宋_GB2312" w:cs="仿宋_GB2312"/>
          <w:color w:val="auto"/>
          <w:sz w:val="32"/>
          <w:szCs w:val="32"/>
          <w:highlight w:val="none"/>
        </w:rPr>
        <w:t>回收体系建设，深入推进</w:t>
      </w:r>
      <w:r>
        <w:rPr>
          <w:rFonts w:hint="eastAsia" w:ascii="仿宋_GB2312" w:hAnsi="仿宋_GB2312" w:eastAsia="仿宋_GB2312" w:cs="仿宋_GB2312"/>
          <w:color w:val="auto"/>
          <w:sz w:val="32"/>
          <w:szCs w:val="32"/>
          <w:highlight w:val="none"/>
          <w:lang w:val="en-US" w:eastAsia="zh-CN"/>
        </w:rPr>
        <w:t>横荷街道城市</w:t>
      </w:r>
      <w:r>
        <w:rPr>
          <w:rFonts w:hint="eastAsia" w:ascii="仿宋_GB2312" w:hAnsi="仿宋_GB2312" w:eastAsia="仿宋_GB2312" w:cs="仿宋_GB2312"/>
          <w:color w:val="auto"/>
          <w:sz w:val="32"/>
          <w:szCs w:val="32"/>
          <w:highlight w:val="none"/>
        </w:rPr>
        <w:t>生活垃圾分类收运体系和</w:t>
      </w:r>
      <w:r>
        <w:rPr>
          <w:rFonts w:hint="eastAsia" w:ascii="仿宋_GB2312" w:hAnsi="仿宋_GB2312" w:eastAsia="仿宋_GB2312" w:cs="仿宋_GB2312"/>
          <w:color w:val="auto"/>
          <w:sz w:val="32"/>
          <w:szCs w:val="32"/>
          <w:highlight w:val="none"/>
          <w:lang w:val="en-US" w:eastAsia="zh-CN"/>
        </w:rPr>
        <w:t>再生资源</w:t>
      </w:r>
      <w:r>
        <w:rPr>
          <w:rFonts w:hint="eastAsia" w:ascii="仿宋_GB2312" w:hAnsi="仿宋_GB2312" w:eastAsia="仿宋_GB2312" w:cs="仿宋_GB2312"/>
          <w:color w:val="auto"/>
          <w:sz w:val="32"/>
          <w:szCs w:val="32"/>
          <w:highlight w:val="none"/>
        </w:rPr>
        <w:t>收运体系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两网</w:t>
      </w:r>
      <w:r>
        <w:rPr>
          <w:rFonts w:hint="eastAsia" w:ascii="仿宋_GB2312" w:hAnsi="仿宋_GB2312" w:eastAsia="仿宋_GB2312" w:cs="仿宋_GB2312"/>
          <w:color w:val="auto"/>
          <w:sz w:val="32"/>
          <w:szCs w:val="32"/>
          <w:highlight w:val="none"/>
        </w:rPr>
        <w:t>融合</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before="313" w:beforeLines="100"/>
        <w:ind w:firstLine="301" w:firstLineChars="100"/>
        <w:jc w:val="both"/>
        <w:textAlignment w:val="auto"/>
        <w:rPr>
          <w:rFonts w:hint="eastAsia" w:ascii="仿宋" w:hAnsi="仿宋" w:eastAsia="仿宋" w:cs="仿宋"/>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313" w:beforeLines="100"/>
        <w:ind w:firstLine="301" w:firstLineChars="100"/>
        <w:jc w:val="center"/>
        <w:textAlignment w:val="auto"/>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图1 横荷街道再生资源回收网点规划设计图</w:t>
      </w:r>
    </w:p>
    <w:p>
      <w:pPr>
        <w:bidi w:val="0"/>
        <w:jc w:val="both"/>
        <w:rPr>
          <w:rFonts w:hint="eastAsia"/>
          <w:color w:val="auto"/>
          <w:highlight w:val="none"/>
        </w:rPr>
      </w:pPr>
      <w:bookmarkStart w:id="117" w:name="_Toc17795"/>
      <w:bookmarkStart w:id="118" w:name="_Toc12169"/>
      <w:bookmarkStart w:id="119" w:name="_Toc17493"/>
      <w:bookmarkStart w:id="120" w:name="_Toc26435"/>
      <w:r>
        <w:rPr>
          <w:rFonts w:hint="eastAsia"/>
          <w:color w:val="auto"/>
          <w:highlight w:val="none"/>
        </w:rPr>
        <w:drawing>
          <wp:inline distT="0" distB="0" distL="114300" distR="114300">
            <wp:extent cx="5245100" cy="2709545"/>
            <wp:effectExtent l="0" t="0" r="12700" b="14605"/>
            <wp:docPr id="5" name="图片 32" descr="163083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2" descr="1630836693"/>
                    <pic:cNvPicPr>
                      <a:picLocks noChangeAspect="1"/>
                    </pic:cNvPicPr>
                  </pic:nvPicPr>
                  <pic:blipFill>
                    <a:blip r:embed="rId8"/>
                    <a:srcRect l="8469" t="23358" r="7370" b="11435"/>
                    <a:stretch>
                      <a:fillRect/>
                    </a:stretch>
                  </pic:blipFill>
                  <pic:spPr>
                    <a:xfrm>
                      <a:off x="0" y="0"/>
                      <a:ext cx="5245100" cy="2709545"/>
                    </a:xfrm>
                    <a:prstGeom prst="rect">
                      <a:avLst/>
                    </a:prstGeom>
                    <a:noFill/>
                    <a:ln>
                      <a:noFill/>
                    </a:ln>
                  </pic:spPr>
                </pic:pic>
              </a:graphicData>
            </a:graphic>
          </wp:inline>
        </w:drawing>
      </w:r>
      <w:bookmarkEnd w:id="117"/>
      <w:bookmarkEnd w:id="118"/>
      <w:bookmarkEnd w:id="119"/>
      <w:bookmarkEnd w:id="120"/>
    </w:p>
    <w:p>
      <w:pPr>
        <w:keepNext w:val="0"/>
        <w:keepLines w:val="0"/>
        <w:pageBreakBefore w:val="0"/>
        <w:widowControl w:val="0"/>
        <w:kinsoku/>
        <w:wordWrap/>
        <w:overflowPunct/>
        <w:topLinePunct w:val="0"/>
        <w:autoSpaceDE/>
        <w:autoSpaceDN/>
        <w:bidi w:val="0"/>
        <w:adjustRightInd/>
        <w:snapToGrid/>
        <w:spacing w:before="313" w:beforeLines="100"/>
        <w:jc w:val="both"/>
        <w:textAlignment w:val="auto"/>
        <w:rPr>
          <w:rFonts w:hint="eastAsia" w:ascii="仿宋" w:hAnsi="仿宋" w:eastAsia="仿宋" w:cs="仿宋"/>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eastAsia" w:ascii="黑体" w:hAnsi="黑体" w:eastAsia="黑体" w:cs="黑体"/>
          <w:color w:val="auto"/>
          <w:sz w:val="32"/>
          <w:szCs w:val="32"/>
          <w:highlight w:val="none"/>
        </w:rPr>
      </w:pPr>
      <w:r>
        <w:rPr>
          <w:rFonts w:hint="eastAsia" w:ascii="仿宋" w:hAnsi="仿宋" w:eastAsia="仿宋" w:cs="仿宋"/>
          <w:b/>
          <w:bCs/>
          <w:color w:val="auto"/>
          <w:sz w:val="30"/>
          <w:szCs w:val="30"/>
          <w:highlight w:val="none"/>
          <w:lang w:val="en-US" w:eastAsia="zh-CN"/>
        </w:rPr>
        <w:t>图2 横荷街道再生资源回收网点规划设计方向</w:t>
      </w:r>
      <w:r>
        <w:rPr>
          <w:rFonts w:hint="eastAsia" w:eastAsia="宋体"/>
          <w:color w:val="auto"/>
          <w:highlight w:val="none"/>
          <w:lang w:eastAsia="zh-CN"/>
        </w:rPr>
        <w:drawing>
          <wp:inline distT="0" distB="0" distL="114300" distR="114300">
            <wp:extent cx="5272405" cy="1399540"/>
            <wp:effectExtent l="0" t="0" r="4445" b="10160"/>
            <wp:docPr id="8" name="图片 6" descr="1631008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1631008002(1)"/>
                    <pic:cNvPicPr>
                      <a:picLocks noChangeAspect="1"/>
                    </pic:cNvPicPr>
                  </pic:nvPicPr>
                  <pic:blipFill>
                    <a:blip r:embed="rId9"/>
                    <a:stretch>
                      <a:fillRect/>
                    </a:stretch>
                  </pic:blipFill>
                  <pic:spPr>
                    <a:xfrm>
                      <a:off x="0" y="0"/>
                      <a:ext cx="5272405" cy="1399540"/>
                    </a:xfrm>
                    <a:prstGeom prst="rect">
                      <a:avLst/>
                    </a:prstGeom>
                    <a:noFill/>
                    <a:ln>
                      <a:noFill/>
                    </a:ln>
                  </pic:spPr>
                </pic:pic>
              </a:graphicData>
            </a:graphic>
          </wp:inline>
        </w:drawing>
      </w:r>
      <w:bookmarkStart w:id="121" w:name="_Toc20849"/>
    </w:p>
    <w:p>
      <w:pPr>
        <w:keepNext w:val="0"/>
        <w:keepLines w:val="0"/>
        <w:pageBreakBefore w:val="0"/>
        <w:widowControl w:val="0"/>
        <w:kinsoku/>
        <w:wordWrap/>
        <w:overflowPunct/>
        <w:topLinePunct w:val="0"/>
        <w:autoSpaceDE/>
        <w:autoSpaceDN/>
        <w:bidi w:val="0"/>
        <w:adjustRightInd w:val="0"/>
        <w:snapToGrid w:val="0"/>
        <w:spacing w:before="625" w:beforeLines="200" w:after="625" w:afterLines="200" w:line="560" w:lineRule="exact"/>
        <w:ind w:right="0" w:rightChars="0"/>
        <w:jc w:val="center"/>
        <w:textAlignment w:val="auto"/>
        <w:outlineLvl w:val="0"/>
        <w:rPr>
          <w:rFonts w:hint="eastAsia" w:ascii="黑体" w:hAnsi="黑体" w:eastAsia="黑体" w:cs="黑体"/>
          <w:color w:val="auto"/>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before="625" w:beforeLines="200" w:after="625" w:afterLines="200" w:line="560" w:lineRule="exact"/>
        <w:ind w:right="0" w:rightChars="0"/>
        <w:jc w:val="center"/>
        <w:textAlignment w:val="auto"/>
        <w:outlineLvl w:val="0"/>
        <w:rPr>
          <w:rFonts w:hint="eastAsia" w:ascii="黑体" w:hAnsi="黑体" w:eastAsia="黑体" w:cs="黑体"/>
          <w:color w:val="auto"/>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before="625" w:beforeLines="200" w:after="625" w:afterLines="200" w:line="560" w:lineRule="exact"/>
        <w:ind w:right="0" w:rightChars="0"/>
        <w:jc w:val="center"/>
        <w:textAlignment w:val="auto"/>
        <w:outlineLvl w:val="0"/>
        <w:rPr>
          <w:rFonts w:hint="eastAsia" w:ascii="仿宋" w:hAnsi="仿宋" w:eastAsia="黑体" w:cs="仿宋"/>
          <w:color w:val="auto"/>
          <w:sz w:val="30"/>
          <w:szCs w:val="30"/>
          <w:highlight w:val="none"/>
          <w:lang w:eastAsia="zh-CN"/>
        </w:rPr>
      </w:pPr>
      <w:r>
        <w:rPr>
          <w:rFonts w:hint="eastAsia" w:ascii="黑体" w:hAnsi="黑体" w:eastAsia="黑体" w:cs="黑体"/>
          <w:color w:val="auto"/>
          <w:sz w:val="32"/>
          <w:szCs w:val="32"/>
          <w:highlight w:val="none"/>
        </w:rPr>
        <w:t>第</w:t>
      </w:r>
      <w:r>
        <w:rPr>
          <w:rFonts w:hint="eastAsia" w:ascii="黑体" w:hAnsi="黑体" w:eastAsia="黑体" w:cs="黑体"/>
          <w:color w:val="auto"/>
          <w:sz w:val="32"/>
          <w:szCs w:val="32"/>
          <w:highlight w:val="none"/>
          <w:lang w:eastAsia="zh-CN"/>
        </w:rPr>
        <w:t>四</w:t>
      </w:r>
      <w:r>
        <w:rPr>
          <w:rFonts w:hint="eastAsia" w:ascii="黑体" w:hAnsi="黑体" w:eastAsia="黑体" w:cs="黑体"/>
          <w:color w:val="auto"/>
          <w:sz w:val="32"/>
          <w:szCs w:val="32"/>
          <w:highlight w:val="none"/>
        </w:rPr>
        <w:t xml:space="preserve">章 </w:t>
      </w:r>
      <w:bookmarkEnd w:id="113"/>
      <w:bookmarkEnd w:id="114"/>
      <w:bookmarkEnd w:id="115"/>
      <w:r>
        <w:rPr>
          <w:rFonts w:hint="eastAsia" w:ascii="黑体" w:hAnsi="黑体" w:eastAsia="黑体" w:cs="黑体"/>
          <w:color w:val="auto"/>
          <w:sz w:val="32"/>
          <w:szCs w:val="32"/>
          <w:highlight w:val="none"/>
          <w:lang w:eastAsia="zh-CN"/>
        </w:rPr>
        <w:t>再生资源收运体系规划</w:t>
      </w:r>
      <w:bookmarkEnd w:id="121"/>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22" w:name="_Toc13224"/>
      <w:r>
        <w:rPr>
          <w:rFonts w:hint="eastAsia" w:ascii="黑体" w:hAnsi="黑体" w:eastAsia="黑体" w:cs="黑体"/>
          <w:b w:val="0"/>
          <w:bCs w:val="0"/>
          <w:color w:val="auto"/>
          <w:kern w:val="44"/>
          <w:sz w:val="32"/>
          <w:szCs w:val="32"/>
          <w:highlight w:val="none"/>
          <w:lang w:val="en-US" w:eastAsia="zh-CN" w:bidi="ar-SA"/>
        </w:rPr>
        <w:t>一、构建三级收运体系</w:t>
      </w:r>
      <w:bookmarkEnd w:id="122"/>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1（分拣中心）+2（中转站）+31（门店式社区回收网点）+N（流动式社区回收网点）。第一级是建设1处分拣中心，承担中转站的再生资源接收任务，具有回收和供应的双重职能。第二级是建设2处中转站，对横荷街道辖区内的可回收物进行简单分类、打包后，集中中转至分拣中心;第三级是社区级的回收点，在居民生活区、企业、公共机构、商场和超市等活动聚集区域设立回收、暂存场所。</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kern w:val="44"/>
          <w:sz w:val="32"/>
          <w:szCs w:val="32"/>
          <w:highlight w:val="none"/>
          <w:lang w:val="en-US" w:eastAsia="zh-CN" w:bidi="ar-SA"/>
        </w:rPr>
      </w:pPr>
      <w:bookmarkStart w:id="123" w:name="_Toc21645"/>
      <w:r>
        <w:rPr>
          <w:rFonts w:hint="eastAsia" w:ascii="黑体" w:hAnsi="黑体" w:eastAsia="黑体" w:cs="黑体"/>
          <w:b w:val="0"/>
          <w:bCs w:val="0"/>
          <w:color w:val="auto"/>
          <w:kern w:val="44"/>
          <w:sz w:val="32"/>
          <w:szCs w:val="32"/>
          <w:highlight w:val="none"/>
          <w:lang w:val="en-US" w:eastAsia="zh-CN" w:bidi="ar-SA"/>
        </w:rPr>
        <w:t>二、规范再生资源回收经营管理</w:t>
      </w:r>
      <w:bookmarkEnd w:id="123"/>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楷体_GB2312" w:hAnsi="楷体_GB2312" w:eastAsia="楷体_GB2312" w:cs="楷体_GB2312"/>
          <w:b w:val="0"/>
          <w:bCs w:val="0"/>
          <w:color w:val="auto"/>
          <w:sz w:val="32"/>
          <w:szCs w:val="32"/>
          <w:highlight w:val="none"/>
          <w:lang w:val="en-US" w:eastAsia="zh-CN"/>
        </w:rPr>
      </w:pPr>
      <w:bookmarkStart w:id="124" w:name="_Toc9144"/>
      <w:r>
        <w:rPr>
          <w:rFonts w:hint="eastAsia" w:ascii="楷体_GB2312" w:hAnsi="楷体_GB2312" w:eastAsia="楷体_GB2312" w:cs="楷体_GB2312"/>
          <w:b w:val="0"/>
          <w:bCs w:val="0"/>
          <w:color w:val="auto"/>
          <w:sz w:val="32"/>
          <w:szCs w:val="32"/>
          <w:highlight w:val="none"/>
          <w:lang w:val="en-US" w:eastAsia="zh-CN"/>
        </w:rPr>
        <w:t>（一）经营要求</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1.申请设立再生资源回收企业和个体经营者，其选址、规模、场地建设和设施配备等应当符合再生资源回收体系建设规划和再生资源回收网点建设规范，其生产加工活动应当符合国家绿色产业发展政策。</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从事再生资源回收经营活动，必须符合市场监督管理登记条件，工商注册登记后，方可从事经营活动。再生资源回收经营者备案事项整合到营业执照，市场监管部门核准工商注册登记后，通过省级共享平台将企业信息共享给各相关部门。</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 xml:space="preserve">3.回收生产性废旧金属的再生资源回收企业和回收非生产性废旧金属的再生资源回收经营者应当在取得营业执照后15日内，向所在地的公安机关备案。备案事项发生变更时，前款所列再生资源回收经营者应当自变更之日起15日内（属于商事登记事项的自商事登记变更之日起15日内）向所在地的公安机关办理变更手续。 </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（二）消防要求</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1.应当设置在安全区域内，同一栋建筑及周边50米范围内应无生产、经营、储存、使用危险物品活动。</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2.应当设置在不低于二级耐火等级的民用建筑内，该场所与其他功能空间处于同一建筑内时，应采用不开设门窗洞口的实体墙与其他功能空间完全分隔，住宿、仓储、经营等功能不得设置在同一场所。</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3.经营场所设有应急疏散通道，保障消防车畅通；设防火防烟分区、防火距且符合消防技术标准要求；配置消防设施、器材，设置消防安全标志。</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4.制定消防及安全生产责任制度、安全生产操作规程、消防应急预案等。</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5.其他相关规定：按照《建筑设计防火规范》（GB50016）、 《建筑灭火器配置设计规范》（GB50140）、《住宿与生产储存经营活动场所消防安全技术要求》（GA703-2007）等相关国家技术规范执行有关要求执行。</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（三）环保要求</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1.再生资源分类区储存容器、设施与场地符合环保要求。</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2.具备防止废液、废气、恶臭等污染地面水体、地下水体、空气及土壤的设施。</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 xml:space="preserve">3.对《固定污染源排污许可分类管理名录》涉及的废弃资源综合利用行业实行排污许可管理制。 </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（四）市容环境卫生管理要求</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1.经营场所面积应满足生产经营需要，不得占用公共空间，如占道经营、占道摆放等。</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2.门店招牌设计应简约美观、突出再生资源主题，符合城市规划和城市管理的相关法律法规和招牌规划建设指引要求，规范命名。</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3.经营场所建筑外墙应与周边环境协调，外墙裸露、脱落的应进行粉刷，不得影响周边环境清洁卫生。</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4.经营场所要符合“门前三包”要求，做到责任区范围内无垃圾、无乱张贴、无乱拉挂、无乱堆放、无污泥积水，消除蚊蝇滋生场所等，保持环境干净整洁。</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（五）运输管理要求</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1.承运人应防止再生资源飞散、溅落、溢漏、恶臭扩散、爆炸等污染环境或危害人体健康的情况发生，运输过程中发生泄 漏时，承运人应立即采取应急措施，负责清理及改善环境。</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2.承运车辆（含回收车）应具备密封功能或达到运输不泄漏要求；对回收车辆鼓励采取“统一外观、统一车型、统一标识、统一制作、统一编号”方式进行管理。</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kern w:val="44"/>
          <w:sz w:val="32"/>
          <w:szCs w:val="32"/>
          <w:highlight w:val="none"/>
          <w:lang w:val="en-US" w:eastAsia="zh-CN" w:bidi="ar-SA"/>
        </w:rPr>
        <w:t>三、规划再生资源社区回收网点</w:t>
      </w:r>
      <w:bookmarkEnd w:id="124"/>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（一）社区回收网点的布局设计</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lang w:eastAsia="zh-CN"/>
        </w:rPr>
        <w:t>横荷街辖区</w:t>
      </w:r>
      <w:r>
        <w:rPr>
          <w:rFonts w:hint="eastAsia" w:ascii="仿宋_GB2312" w:hAnsi="仿宋_GB2312" w:eastAsia="仿宋_GB2312" w:cs="仿宋_GB2312"/>
          <w:color w:val="auto"/>
          <w:kern w:val="0"/>
          <w:sz w:val="32"/>
          <w:szCs w:val="32"/>
          <w:highlight w:val="none"/>
        </w:rPr>
        <w:t>总面积</w:t>
      </w:r>
      <w:r>
        <w:rPr>
          <w:rFonts w:hint="eastAsia" w:ascii="仿宋" w:hAnsi="仿宋" w:eastAsia="仿宋" w:cs="仿宋"/>
          <w:color w:val="auto"/>
          <w:spacing w:val="3"/>
          <w:sz w:val="31"/>
          <w:szCs w:val="31"/>
          <w:lang w:val="en-US" w:eastAsia="zh-CN"/>
        </w:rPr>
        <w:t>90.3平方公里</w:t>
      </w:r>
      <w:r>
        <w:rPr>
          <w:rFonts w:hint="eastAsia" w:ascii="仿宋_GB2312" w:hAnsi="仿宋_GB2312" w:eastAsia="仿宋_GB2312" w:cs="仿宋_GB2312"/>
          <w:color w:val="auto"/>
          <w:kern w:val="0"/>
          <w:sz w:val="32"/>
          <w:szCs w:val="32"/>
          <w:highlight w:val="none"/>
        </w:rPr>
        <w:t>，其中中心城区建成面积约15.35平方公里，</w:t>
      </w:r>
      <w:r>
        <w:rPr>
          <w:rFonts w:hint="eastAsia" w:ascii="仿宋_GB2312" w:hAnsi="仿宋_GB2312" w:eastAsia="仿宋_GB2312" w:cs="仿宋_GB2312"/>
          <w:color w:val="auto"/>
          <w:kern w:val="0"/>
          <w:sz w:val="32"/>
          <w:szCs w:val="32"/>
          <w:highlight w:val="none"/>
          <w:lang w:eastAsia="zh-CN"/>
        </w:rPr>
        <w:t>是清远市区的老旧城区中心。</w:t>
      </w:r>
      <w:r>
        <w:rPr>
          <w:rFonts w:hint="eastAsia" w:ascii="仿宋_GB2312" w:hAnsi="仿宋_GB2312" w:eastAsia="仿宋_GB2312" w:cs="仿宋_GB2312"/>
          <w:color w:val="auto"/>
          <w:sz w:val="32"/>
          <w:szCs w:val="32"/>
          <w:highlight w:val="none"/>
        </w:rPr>
        <w:t>根据202</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eastAsia="zh-CN"/>
        </w:rPr>
        <w:t>横荷</w:t>
      </w:r>
      <w:r>
        <w:rPr>
          <w:rFonts w:hint="eastAsia" w:ascii="仿宋_GB2312" w:hAnsi="仿宋_GB2312" w:eastAsia="仿宋_GB2312" w:cs="仿宋_GB2312"/>
          <w:color w:val="auto"/>
          <w:sz w:val="32"/>
          <w:szCs w:val="32"/>
          <w:highlight w:val="none"/>
        </w:rPr>
        <w:t>街道第七次全国人口普查数据统计，</w:t>
      </w:r>
      <w:r>
        <w:rPr>
          <w:rFonts w:hint="eastAsia" w:ascii="仿宋" w:hAnsi="仿宋" w:eastAsia="仿宋" w:cs="仿宋"/>
          <w:color w:val="auto"/>
          <w:spacing w:val="26"/>
          <w:sz w:val="31"/>
          <w:szCs w:val="31"/>
          <w:lang w:val="en-US" w:eastAsia="zh-CN"/>
        </w:rPr>
        <w:t>横荷</w:t>
      </w:r>
      <w:r>
        <w:rPr>
          <w:rFonts w:ascii="仿宋" w:hAnsi="仿宋" w:eastAsia="仿宋" w:cs="仿宋"/>
          <w:color w:val="auto"/>
          <w:spacing w:val="26"/>
          <w:sz w:val="31"/>
          <w:szCs w:val="31"/>
        </w:rPr>
        <w:t>街常住人口达</w:t>
      </w:r>
      <w:r>
        <w:rPr>
          <w:rFonts w:hint="eastAsia" w:ascii="仿宋" w:hAnsi="仿宋" w:eastAsia="仿宋" w:cs="仿宋"/>
          <w:color w:val="auto"/>
          <w:spacing w:val="26"/>
          <w:sz w:val="31"/>
          <w:szCs w:val="31"/>
          <w:lang w:val="en-US" w:eastAsia="zh-CN"/>
        </w:rPr>
        <w:t>10.5</w:t>
      </w:r>
      <w:r>
        <w:rPr>
          <w:rFonts w:ascii="仿宋" w:hAnsi="仿宋" w:eastAsia="仿宋" w:cs="仿宋"/>
          <w:color w:val="auto"/>
          <w:spacing w:val="7"/>
          <w:sz w:val="31"/>
          <w:szCs w:val="31"/>
        </w:rPr>
        <w:t>万人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固定</w:t>
      </w:r>
      <w:r>
        <w:rPr>
          <w:rFonts w:hint="eastAsia" w:ascii="仿宋_GB2312" w:hAnsi="仿宋_GB2312" w:eastAsia="仿宋_GB2312" w:cs="仿宋_GB2312"/>
          <w:color w:val="auto"/>
          <w:sz w:val="32"/>
          <w:szCs w:val="32"/>
          <w:highlight w:val="none"/>
          <w:lang w:eastAsia="zh-CN"/>
        </w:rPr>
        <w:t>社区回收网点</w:t>
      </w:r>
      <w:r>
        <w:rPr>
          <w:rFonts w:hint="eastAsia" w:ascii="仿宋_GB2312" w:hAnsi="仿宋_GB2312" w:eastAsia="仿宋_GB2312" w:cs="仿宋_GB2312"/>
          <w:color w:val="auto"/>
          <w:sz w:val="32"/>
          <w:szCs w:val="32"/>
          <w:highlight w:val="none"/>
        </w:rPr>
        <w:t>的建设要根据实际居住人口与</w:t>
      </w:r>
      <w:r>
        <w:rPr>
          <w:rFonts w:hint="eastAsia" w:ascii="仿宋_GB2312" w:hAnsi="仿宋_GB2312" w:eastAsia="仿宋_GB2312" w:cs="仿宋_GB2312"/>
          <w:color w:val="auto"/>
          <w:sz w:val="32"/>
          <w:szCs w:val="32"/>
          <w:highlight w:val="none"/>
          <w:lang w:eastAsia="zh-CN"/>
        </w:rPr>
        <w:t>再生资源</w:t>
      </w:r>
      <w:r>
        <w:rPr>
          <w:rFonts w:hint="eastAsia" w:ascii="仿宋_GB2312" w:hAnsi="仿宋_GB2312" w:eastAsia="仿宋_GB2312" w:cs="仿宋_GB2312"/>
          <w:color w:val="auto"/>
          <w:sz w:val="32"/>
          <w:szCs w:val="32"/>
          <w:highlight w:val="none"/>
        </w:rPr>
        <w:t>产生量情况统一规划，合理布局。按照</w:t>
      </w:r>
      <w:r>
        <w:rPr>
          <w:rFonts w:hint="eastAsia" w:ascii="仿宋_GB2312" w:hAnsi="仿宋_GB2312" w:eastAsia="仿宋_GB2312" w:cs="仿宋_GB2312"/>
          <w:color w:val="auto"/>
          <w:sz w:val="32"/>
          <w:szCs w:val="32"/>
          <w:highlight w:val="none"/>
          <w:lang w:val="en-US" w:eastAsia="zh-CN"/>
        </w:rPr>
        <w:t>方便投放、便于回收、覆盖全街、规范管理</w:t>
      </w:r>
      <w:r>
        <w:rPr>
          <w:rFonts w:hint="eastAsia" w:ascii="仿宋_GB2312" w:hAnsi="仿宋_GB2312" w:eastAsia="仿宋_GB2312" w:cs="仿宋_GB2312"/>
          <w:color w:val="auto"/>
          <w:sz w:val="32"/>
          <w:szCs w:val="32"/>
          <w:highlight w:val="none"/>
        </w:rPr>
        <w:t>的原则，结合实际设置。居民居住区的固定</w:t>
      </w:r>
      <w:r>
        <w:rPr>
          <w:rFonts w:hint="eastAsia" w:ascii="仿宋_GB2312" w:hAnsi="仿宋_GB2312" w:eastAsia="仿宋_GB2312" w:cs="仿宋_GB2312"/>
          <w:color w:val="auto"/>
          <w:sz w:val="32"/>
          <w:szCs w:val="32"/>
          <w:highlight w:val="none"/>
          <w:lang w:eastAsia="zh-CN"/>
        </w:rPr>
        <w:t>社区回收网点</w:t>
      </w:r>
      <w:r>
        <w:rPr>
          <w:rFonts w:hint="eastAsia" w:ascii="仿宋_GB2312" w:hAnsi="仿宋_GB2312" w:eastAsia="仿宋_GB2312" w:cs="仿宋_GB2312"/>
          <w:color w:val="auto"/>
          <w:sz w:val="32"/>
          <w:szCs w:val="32"/>
          <w:highlight w:val="none"/>
        </w:rPr>
        <w:t>宜以</w:t>
      </w:r>
      <w:r>
        <w:rPr>
          <w:rFonts w:hint="eastAsia" w:ascii="仿宋_GB2312" w:hAnsi="仿宋_GB2312" w:eastAsia="仿宋_GB2312" w:cs="仿宋_GB2312"/>
          <w:color w:val="auto"/>
          <w:sz w:val="32"/>
          <w:szCs w:val="32"/>
          <w:highlight w:val="none"/>
          <w:lang w:eastAsia="zh-CN"/>
        </w:rPr>
        <w:t>社区</w:t>
      </w:r>
      <w:r>
        <w:rPr>
          <w:rFonts w:hint="eastAsia" w:ascii="仿宋_GB2312" w:hAnsi="仿宋_GB2312" w:eastAsia="仿宋_GB2312" w:cs="仿宋_GB2312"/>
          <w:color w:val="auto"/>
          <w:sz w:val="32"/>
          <w:szCs w:val="32"/>
          <w:highlight w:val="none"/>
        </w:rPr>
        <w:t>为单位设置，按</w:t>
      </w:r>
      <w:r>
        <w:rPr>
          <w:rFonts w:hint="eastAsia" w:ascii="仿宋_GB2312" w:hAnsi="仿宋_GB2312" w:eastAsia="仿宋_GB2312" w:cs="仿宋_GB2312"/>
          <w:color w:val="auto"/>
          <w:sz w:val="32"/>
          <w:szCs w:val="32"/>
          <w:highlight w:val="none"/>
          <w:lang w:val="en-US" w:eastAsia="zh-CN"/>
        </w:rPr>
        <w:t>城区</w:t>
      </w:r>
      <w:r>
        <w:rPr>
          <w:rFonts w:hint="eastAsia" w:ascii="仿宋_GB2312" w:hAnsi="仿宋_GB2312" w:eastAsia="仿宋_GB2312" w:cs="仿宋_GB2312"/>
          <w:color w:val="auto"/>
          <w:sz w:val="32"/>
          <w:szCs w:val="32"/>
          <w:highlight w:val="none"/>
        </w:rPr>
        <w:t>每</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000户居民的标准设立1个固定</w:t>
      </w:r>
      <w:r>
        <w:rPr>
          <w:rFonts w:hint="eastAsia" w:ascii="仿宋_GB2312" w:hAnsi="仿宋_GB2312" w:eastAsia="仿宋_GB2312" w:cs="仿宋_GB2312"/>
          <w:color w:val="auto"/>
          <w:sz w:val="32"/>
          <w:szCs w:val="32"/>
          <w:highlight w:val="none"/>
          <w:lang w:eastAsia="zh-CN"/>
        </w:rPr>
        <w:t>社区回收网点，</w:t>
      </w:r>
      <w:r>
        <w:rPr>
          <w:rFonts w:hint="eastAsia" w:ascii="仿宋_GB2312" w:hAnsi="仿宋_GB2312" w:eastAsia="仿宋_GB2312" w:cs="仿宋_GB2312"/>
          <w:color w:val="auto"/>
          <w:sz w:val="32"/>
          <w:szCs w:val="32"/>
          <w:highlight w:val="none"/>
          <w:lang w:val="en-US" w:eastAsia="zh-CN"/>
        </w:rPr>
        <w:t>条件不具备的地区设立流动回收车</w:t>
      </w:r>
      <w:r>
        <w:rPr>
          <w:rFonts w:hint="eastAsia" w:ascii="仿宋_GB2312" w:hAnsi="仿宋_GB2312" w:eastAsia="仿宋_GB2312" w:cs="仿宋_GB2312"/>
          <w:color w:val="auto"/>
          <w:sz w:val="32"/>
          <w:szCs w:val="32"/>
          <w:highlight w:val="none"/>
        </w:rPr>
        <w:t>。按照</w:t>
      </w:r>
      <w:r>
        <w:rPr>
          <w:rFonts w:hint="eastAsia" w:ascii="仿宋_GB2312" w:hAnsi="仿宋_GB2312" w:eastAsia="仿宋_GB2312" w:cs="仿宋_GB2312"/>
          <w:color w:val="auto"/>
          <w:sz w:val="32"/>
          <w:szCs w:val="32"/>
          <w:highlight w:val="none"/>
          <w:lang w:eastAsia="zh-CN"/>
        </w:rPr>
        <w:t>横荷街道</w:t>
      </w:r>
      <w:r>
        <w:rPr>
          <w:rFonts w:hint="eastAsia" w:ascii="仿宋_GB2312" w:hAnsi="仿宋_GB2312" w:eastAsia="仿宋_GB2312" w:cs="仿宋_GB2312"/>
          <w:color w:val="auto"/>
          <w:sz w:val="32"/>
          <w:szCs w:val="32"/>
          <w:highlight w:val="none"/>
        </w:rPr>
        <w:t>发展规划及人口增长预测，布局固定</w:t>
      </w:r>
      <w:r>
        <w:rPr>
          <w:rFonts w:hint="eastAsia" w:ascii="仿宋_GB2312" w:hAnsi="仿宋_GB2312" w:eastAsia="仿宋_GB2312" w:cs="仿宋_GB2312"/>
          <w:color w:val="auto"/>
          <w:sz w:val="32"/>
          <w:szCs w:val="32"/>
          <w:highlight w:val="none"/>
          <w:lang w:eastAsia="zh-CN"/>
        </w:rPr>
        <w:t>门店式社区回收网点</w:t>
      </w:r>
      <w:r>
        <w:rPr>
          <w:rFonts w:hint="eastAsia" w:ascii="仿宋_GB2312" w:hAnsi="仿宋_GB2312" w:eastAsia="仿宋_GB2312" w:cs="仿宋_GB2312"/>
          <w:color w:val="auto"/>
          <w:sz w:val="32"/>
          <w:szCs w:val="32"/>
          <w:highlight w:val="none"/>
          <w:lang w:val="en-US" w:eastAsia="zh-CN"/>
        </w:rPr>
        <w:t>31</w:t>
      </w:r>
      <w:r>
        <w:rPr>
          <w:rFonts w:hint="eastAsia" w:ascii="仿宋_GB2312" w:hAnsi="仿宋_GB2312" w:eastAsia="仿宋_GB2312" w:cs="仿宋_GB2312"/>
          <w:color w:val="auto"/>
          <w:sz w:val="32"/>
          <w:szCs w:val="32"/>
          <w:highlight w:val="none"/>
        </w:rPr>
        <w:t>个。</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color w:val="FF0000"/>
          <w:sz w:val="32"/>
          <w:szCs w:val="32"/>
          <w:highlight w:val="none"/>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val="0"/>
        <w:snapToGrid w:val="0"/>
        <w:spacing w:line="560" w:lineRule="exact"/>
        <w:ind w:right="0" w:rightChars="0"/>
        <w:jc w:val="center"/>
        <w:textAlignment w:val="auto"/>
        <w:rPr>
          <w:rFonts w:hint="eastAsia" w:ascii="仿宋_GB2312" w:hAnsi="仿宋_GB2312" w:eastAsia="仿宋_GB2312" w:cs="仿宋_GB2312"/>
          <w:b/>
          <w:bCs/>
          <w:color w:val="auto"/>
          <w:kern w:val="2"/>
          <w:sz w:val="32"/>
          <w:szCs w:val="32"/>
          <w:highlight w:val="none"/>
          <w:lang w:val="en-US" w:eastAsia="zh-CN" w:bidi="ar-SA"/>
        </w:rPr>
      </w:pPr>
      <w:bookmarkStart w:id="125" w:name="_Toc21435"/>
      <w:bookmarkStart w:id="126" w:name="_Toc7128"/>
      <w:bookmarkStart w:id="127" w:name="_Toc18265"/>
      <w:bookmarkStart w:id="128" w:name="_Toc12072"/>
      <w:r>
        <w:rPr>
          <w:rFonts w:hint="eastAsia" w:ascii="仿宋_GB2312" w:hAnsi="仿宋_GB2312" w:eastAsia="仿宋_GB2312" w:cs="仿宋_GB2312"/>
          <w:b/>
          <w:bCs/>
          <w:color w:val="auto"/>
          <w:kern w:val="2"/>
          <w:sz w:val="32"/>
          <w:szCs w:val="32"/>
          <w:highlight w:val="none"/>
          <w:lang w:val="en-US" w:eastAsia="zh-CN" w:bidi="ar-SA"/>
        </w:rPr>
        <w:t>表1 横荷街道再生资源社区回收网点规划表</w:t>
      </w:r>
      <w:bookmarkEnd w:id="125"/>
      <w:bookmarkEnd w:id="126"/>
      <w:bookmarkEnd w:id="127"/>
      <w:bookmarkEnd w:id="128"/>
    </w:p>
    <w:tbl>
      <w:tblPr>
        <w:tblStyle w:val="9"/>
        <w:tblW w:w="88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2"/>
        <w:gridCol w:w="1228"/>
        <w:gridCol w:w="1574"/>
        <w:gridCol w:w="1186"/>
        <w:gridCol w:w="1370"/>
        <w:gridCol w:w="1315"/>
        <w:gridCol w:w="15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72"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仿宋_GB2312" w:hAnsi="方正仿宋_GB2312" w:eastAsia="方正仿宋_GB2312" w:cs="方正仿宋_GB2312"/>
                <w:b/>
                <w:bCs/>
                <w:i w:val="0"/>
                <w:iCs w:val="0"/>
                <w:color w:val="000000"/>
                <w:sz w:val="24"/>
                <w:szCs w:val="24"/>
                <w:u w:val="none"/>
              </w:rPr>
            </w:pPr>
            <w:r>
              <w:rPr>
                <w:rFonts w:hint="eastAsia" w:ascii="方正仿宋_GB2312" w:hAnsi="方正仿宋_GB2312" w:eastAsia="方正仿宋_GB2312" w:cs="方正仿宋_GB2312"/>
                <w:b/>
                <w:bCs/>
                <w:i w:val="0"/>
                <w:iCs w:val="0"/>
                <w:color w:val="000000"/>
                <w:kern w:val="0"/>
                <w:sz w:val="24"/>
                <w:szCs w:val="24"/>
                <w:u w:val="none"/>
                <w:lang w:val="en-US" w:eastAsia="zh-CN" w:bidi="ar"/>
              </w:rPr>
              <w:t>序号</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4"/>
                <w:szCs w:val="24"/>
                <w:u w:val="none"/>
              </w:rPr>
            </w:pPr>
            <w:r>
              <w:rPr>
                <w:rFonts w:hint="eastAsia" w:ascii="方正仿宋_GB2312" w:hAnsi="方正仿宋_GB2312" w:eastAsia="方正仿宋_GB2312" w:cs="方正仿宋_GB2312"/>
                <w:b/>
                <w:bCs/>
                <w:i w:val="0"/>
                <w:iCs w:val="0"/>
                <w:color w:val="000000"/>
                <w:kern w:val="0"/>
                <w:sz w:val="24"/>
                <w:szCs w:val="24"/>
                <w:u w:val="none"/>
                <w:lang w:val="en-US" w:eastAsia="zh-CN" w:bidi="ar"/>
              </w:rPr>
              <w:t>村（社区）</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4"/>
                <w:szCs w:val="24"/>
                <w:u w:val="none"/>
              </w:rPr>
            </w:pPr>
            <w:r>
              <w:rPr>
                <w:rFonts w:hint="eastAsia" w:ascii="方正仿宋_GB2312" w:hAnsi="方正仿宋_GB2312" w:eastAsia="方正仿宋_GB2312" w:cs="方正仿宋_GB2312"/>
                <w:b/>
                <w:bCs/>
                <w:i w:val="0"/>
                <w:iCs w:val="0"/>
                <w:color w:val="000000"/>
                <w:kern w:val="0"/>
                <w:sz w:val="24"/>
                <w:szCs w:val="24"/>
                <w:u w:val="none"/>
                <w:lang w:val="en-US" w:eastAsia="zh-CN" w:bidi="ar"/>
              </w:rPr>
              <w:t>辖区面积 （平方公里）</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4"/>
                <w:szCs w:val="24"/>
                <w:u w:val="none"/>
              </w:rPr>
            </w:pPr>
            <w:r>
              <w:rPr>
                <w:rFonts w:hint="eastAsia" w:ascii="方正仿宋_GB2312" w:hAnsi="方正仿宋_GB2312" w:eastAsia="方正仿宋_GB2312" w:cs="方正仿宋_GB2312"/>
                <w:b/>
                <w:bCs/>
                <w:i w:val="0"/>
                <w:iCs w:val="0"/>
                <w:color w:val="000000"/>
                <w:kern w:val="0"/>
                <w:sz w:val="24"/>
                <w:szCs w:val="24"/>
                <w:u w:val="none"/>
                <w:lang w:val="en-US" w:eastAsia="zh-CN" w:bidi="ar"/>
              </w:rPr>
              <w:t>户籍人口</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4"/>
                <w:szCs w:val="24"/>
                <w:u w:val="none"/>
              </w:rPr>
            </w:pPr>
            <w:r>
              <w:rPr>
                <w:rFonts w:hint="eastAsia" w:ascii="方正仿宋_GB2312" w:hAnsi="方正仿宋_GB2312" w:eastAsia="方正仿宋_GB2312" w:cs="方正仿宋_GB2312"/>
                <w:b/>
                <w:bCs/>
                <w:i w:val="0"/>
                <w:iCs w:val="0"/>
                <w:color w:val="000000"/>
                <w:kern w:val="0"/>
                <w:sz w:val="24"/>
                <w:szCs w:val="24"/>
                <w:u w:val="none"/>
                <w:lang w:val="en-US" w:eastAsia="zh-CN" w:bidi="ar"/>
              </w:rPr>
              <w:t>常住户数</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4"/>
                <w:szCs w:val="24"/>
                <w:u w:val="none"/>
              </w:rPr>
            </w:pPr>
            <w:r>
              <w:rPr>
                <w:rFonts w:hint="eastAsia" w:ascii="方正仿宋_GB2312" w:hAnsi="方正仿宋_GB2312" w:eastAsia="方正仿宋_GB2312" w:cs="方正仿宋_GB2312"/>
                <w:b/>
                <w:bCs/>
                <w:i w:val="0"/>
                <w:iCs w:val="0"/>
                <w:color w:val="000000"/>
                <w:kern w:val="0"/>
                <w:sz w:val="24"/>
                <w:szCs w:val="24"/>
                <w:u w:val="none"/>
                <w:lang w:val="en-US" w:eastAsia="zh-CN" w:bidi="ar"/>
              </w:rPr>
              <w:t>常住人数</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规划固定社区回收网点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百加社区</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10.5</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10300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2337</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26000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佛祖社区</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6.09</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5376</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1771</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9787</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3</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横荷社区</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7.5</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7450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1680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12450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4</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打古社区</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3.16</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6535</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1728</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7050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5</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荷兴社区</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2.43</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6750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7000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16355</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6</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富强社区</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3.52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sz w:val="24"/>
                <w:szCs w:val="24"/>
                <w:u w:val="none"/>
              </w:rPr>
            </w:pP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sz w:val="24"/>
                <w:szCs w:val="24"/>
                <w:u w:val="none"/>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sz w:val="24"/>
                <w:szCs w:val="24"/>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9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7</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岗头村</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13.31</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9340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2859</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12000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9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8</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赤岗村</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12.1</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8058</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2025</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5216</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9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9</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大有村</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16.47</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8556</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1530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5196</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9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10</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青山村</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8.09</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6500</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1130</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5078</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9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11</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玉塘村</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3.82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4337</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865</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2850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95"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12</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车头村</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3.31</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3963</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1011</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2828</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4"/>
                <w:szCs w:val="24"/>
                <w:u w:val="none"/>
              </w:rPr>
            </w:pPr>
            <w:r>
              <w:rPr>
                <w:rFonts w:hint="eastAsia" w:ascii="方正仿宋_GB2312" w:hAnsi="方正仿宋_GB2312" w:eastAsia="方正仿宋_GB2312" w:cs="方正仿宋_GB2312"/>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1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4"/>
                <w:szCs w:val="24"/>
                <w:u w:val="none"/>
              </w:rPr>
            </w:pPr>
            <w:r>
              <w:rPr>
                <w:rFonts w:hint="eastAsia" w:ascii="方正仿宋_GB2312" w:hAnsi="方正仿宋_GB2312" w:eastAsia="方正仿宋_GB2312" w:cs="方正仿宋_GB2312"/>
                <w:b/>
                <w:bCs/>
                <w:i w:val="0"/>
                <w:iCs w:val="0"/>
                <w:color w:val="000000"/>
                <w:kern w:val="0"/>
                <w:sz w:val="24"/>
                <w:szCs w:val="24"/>
                <w:u w:val="none"/>
                <w:lang w:val="en-US" w:eastAsia="zh-CN" w:bidi="ar"/>
              </w:rPr>
              <w:t>总计</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2312" w:hAnsi="方正仿宋_GB2312" w:eastAsia="方正仿宋_GB2312" w:cs="方正仿宋_GB2312"/>
                <w:i w:val="0"/>
                <w:iCs w:val="0"/>
                <w:color w:val="000000"/>
                <w:sz w:val="24"/>
                <w:szCs w:val="24"/>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4"/>
                <w:szCs w:val="24"/>
                <w:u w:val="none"/>
              </w:rPr>
            </w:pPr>
            <w:r>
              <w:rPr>
                <w:rFonts w:hint="eastAsia" w:ascii="方正仿宋_GB2312" w:hAnsi="方正仿宋_GB2312" w:eastAsia="方正仿宋_GB2312" w:cs="方正仿宋_GB2312"/>
                <w:b/>
                <w:bCs/>
                <w:i w:val="0"/>
                <w:iCs w:val="0"/>
                <w:color w:val="000000"/>
                <w:kern w:val="0"/>
                <w:sz w:val="24"/>
                <w:szCs w:val="24"/>
                <w:u w:val="none"/>
                <w:lang w:val="en-US" w:eastAsia="zh-CN" w:bidi="ar"/>
              </w:rPr>
              <w:t>90.3</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4"/>
                <w:szCs w:val="24"/>
                <w:u w:val="none"/>
              </w:rPr>
            </w:pPr>
            <w:r>
              <w:rPr>
                <w:rFonts w:hint="eastAsia" w:ascii="方正仿宋_GB2312" w:hAnsi="方正仿宋_GB2312" w:eastAsia="方正仿宋_GB2312" w:cs="方正仿宋_GB2312"/>
                <w:b/>
                <w:bCs/>
                <w:i w:val="0"/>
                <w:iCs w:val="0"/>
                <w:color w:val="000000"/>
                <w:kern w:val="0"/>
                <w:sz w:val="24"/>
                <w:szCs w:val="24"/>
                <w:u w:val="none"/>
                <w:lang w:val="en-US" w:eastAsia="zh-CN" w:bidi="ar"/>
              </w:rPr>
              <w:t>77165</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4"/>
                <w:szCs w:val="24"/>
                <w:u w:val="none"/>
              </w:rPr>
            </w:pPr>
            <w:r>
              <w:rPr>
                <w:rFonts w:hint="eastAsia" w:ascii="方正仿宋_GB2312" w:hAnsi="方正仿宋_GB2312" w:eastAsia="方正仿宋_GB2312" w:cs="方正仿宋_GB2312"/>
                <w:b/>
                <w:bCs/>
                <w:i w:val="0"/>
                <w:iCs w:val="0"/>
                <w:color w:val="000000"/>
                <w:kern w:val="0"/>
                <w:sz w:val="24"/>
                <w:szCs w:val="24"/>
                <w:u w:val="none"/>
                <w:lang w:val="en-US" w:eastAsia="zh-CN" w:bidi="ar"/>
              </w:rPr>
              <w:t>23936</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4"/>
                <w:szCs w:val="24"/>
                <w:u w:val="none"/>
              </w:rPr>
            </w:pPr>
            <w:r>
              <w:rPr>
                <w:rFonts w:hint="eastAsia" w:ascii="方正仿宋_GB2312" w:hAnsi="方正仿宋_GB2312" w:eastAsia="方正仿宋_GB2312" w:cs="方正仿宋_GB2312"/>
                <w:b/>
                <w:bCs/>
                <w:i w:val="0"/>
                <w:iCs w:val="0"/>
                <w:color w:val="000000"/>
                <w:kern w:val="0"/>
                <w:sz w:val="24"/>
                <w:szCs w:val="24"/>
                <w:u w:val="none"/>
                <w:lang w:val="en-US" w:eastAsia="zh-CN" w:bidi="ar"/>
              </w:rPr>
              <w:t>104810</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4"/>
                <w:szCs w:val="24"/>
                <w:u w:val="none"/>
              </w:rPr>
            </w:pPr>
            <w:r>
              <w:rPr>
                <w:rFonts w:hint="eastAsia" w:ascii="方正仿宋_GB2312" w:hAnsi="方正仿宋_GB2312" w:eastAsia="方正仿宋_GB2312" w:cs="方正仿宋_GB2312"/>
                <w:b/>
                <w:bCs/>
                <w:i w:val="0"/>
                <w:iCs w:val="0"/>
                <w:color w:val="auto"/>
                <w:kern w:val="0"/>
                <w:sz w:val="24"/>
                <w:szCs w:val="24"/>
                <w:u w:val="none"/>
                <w:lang w:val="en-US" w:eastAsia="zh-CN" w:bidi="ar"/>
              </w:rPr>
              <w:t>31</w:t>
            </w:r>
          </w:p>
        </w:tc>
      </w:tr>
    </w:tbl>
    <w:p>
      <w:pPr>
        <w:keepNext w:val="0"/>
        <w:keepLines w:val="0"/>
        <w:pageBreakBefore w:val="0"/>
        <w:widowControl w:val="0"/>
        <w:numPr>
          <w:ilvl w:val="0"/>
          <w:numId w:val="0"/>
        </w:numPr>
        <w:tabs>
          <w:tab w:val="left" w:pos="312"/>
        </w:tabs>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b/>
          <w:bCs/>
          <w:i w:val="0"/>
          <w:iCs w:val="0"/>
          <w:color w:val="auto"/>
          <w:kern w:val="0"/>
          <w:sz w:val="30"/>
          <w:szCs w:val="30"/>
          <w:highlight w:val="none"/>
          <w:u w:val="none"/>
          <w:lang w:val="en-US" w:eastAsia="zh-CN" w:bidi="ar"/>
        </w:rPr>
      </w:pPr>
    </w:p>
    <w:tbl>
      <w:tblPr>
        <w:tblStyle w:val="10"/>
        <w:tblW w:w="7396" w:type="dxa"/>
        <w:tblInd w:w="8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2" w:hRule="atLeast"/>
        </w:trPr>
        <w:tc>
          <w:tcPr>
            <w:tcW w:w="7396" w:type="dxa"/>
            <w:tcBorders>
              <w:top w:val="nil"/>
              <w:left w:val="nil"/>
              <w:bottom w:val="nil"/>
              <w:right w:val="nil"/>
            </w:tcBorders>
          </w:tcPr>
          <w:p>
            <w:pPr>
              <w:keepNext w:val="0"/>
              <w:keepLines w:val="0"/>
              <w:pageBreakBefore w:val="0"/>
              <w:widowControl w:val="0"/>
              <w:numPr>
                <w:ilvl w:val="0"/>
                <w:numId w:val="0"/>
              </w:numPr>
              <w:tabs>
                <w:tab w:val="left" w:pos="312"/>
              </w:tabs>
              <w:kinsoku/>
              <w:wordWrap/>
              <w:overflowPunct/>
              <w:topLinePunct w:val="0"/>
              <w:autoSpaceDE/>
              <w:autoSpaceDN/>
              <w:bidi w:val="0"/>
              <w:adjustRightInd w:val="0"/>
              <w:snapToGrid w:val="0"/>
              <w:spacing w:line="560" w:lineRule="exact"/>
              <w:ind w:right="0" w:rightChars="0"/>
              <w:jc w:val="center"/>
              <w:textAlignment w:val="auto"/>
              <w:rPr>
                <w:rFonts w:hint="eastAsia" w:ascii="仿宋_GB2312" w:hAnsi="仿宋_GB2312" w:eastAsia="仿宋_GB2312" w:cs="仿宋_GB2312"/>
                <w:b/>
                <w:bCs/>
                <w:i w:val="0"/>
                <w:iCs w:val="0"/>
                <w:color w:val="FF0000"/>
                <w:kern w:val="0"/>
                <w:sz w:val="30"/>
                <w:szCs w:val="30"/>
                <w:highlight w:val="none"/>
                <w:u w:val="none"/>
                <w:vertAlign w:val="baseline"/>
                <w:lang w:val="en-US" w:eastAsia="zh-CN" w:bidi="ar"/>
              </w:rPr>
            </w:pPr>
            <w:r>
              <w:rPr>
                <w:rFonts w:hint="eastAsia" w:ascii="仿宋_GB2312" w:hAnsi="仿宋_GB2312" w:eastAsia="仿宋_GB2312" w:cs="仿宋_GB2312"/>
                <w:b/>
                <w:bCs/>
                <w:i w:val="0"/>
                <w:iCs w:val="0"/>
                <w:color w:val="auto"/>
                <w:kern w:val="0"/>
                <w:sz w:val="30"/>
                <w:szCs w:val="30"/>
                <w:highlight w:val="none"/>
                <w:u w:val="none"/>
                <w:vertAlign w:val="baseline"/>
                <w:lang w:val="en-US" w:eastAsia="zh-CN" w:bidi="ar"/>
              </w:rPr>
              <w:drawing>
                <wp:anchor distT="0" distB="0" distL="114300" distR="114300" simplePos="0" relativeHeight="251659264" behindDoc="0" locked="0" layoutInCell="1" allowOverlap="1">
                  <wp:simplePos x="0" y="0"/>
                  <wp:positionH relativeFrom="column">
                    <wp:posOffset>463550</wp:posOffset>
                  </wp:positionH>
                  <wp:positionV relativeFrom="paragraph">
                    <wp:posOffset>98425</wp:posOffset>
                  </wp:positionV>
                  <wp:extent cx="3571240" cy="3318510"/>
                  <wp:effectExtent l="0" t="0" r="0" b="0"/>
                  <wp:wrapTopAndBottom/>
                  <wp:docPr id="1" name="图片 1" descr="3f8427a09bb7e56bf76c582ca79cd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f8427a09bb7e56bf76c582ca79cdb5f"/>
                          <pic:cNvPicPr>
                            <a:picLocks noChangeAspect="1"/>
                          </pic:cNvPicPr>
                        </pic:nvPicPr>
                        <pic:blipFill>
                          <a:blip r:embed="rId10"/>
                          <a:srcRect l="11217" t="2817" r="16519" b="2217"/>
                          <a:stretch>
                            <a:fillRect/>
                          </a:stretch>
                        </pic:blipFill>
                        <pic:spPr>
                          <a:xfrm>
                            <a:off x="0" y="0"/>
                            <a:ext cx="3571240" cy="3318510"/>
                          </a:xfrm>
                          <a:prstGeom prst="rect">
                            <a:avLst/>
                          </a:prstGeom>
                        </pic:spPr>
                      </pic:pic>
                    </a:graphicData>
                  </a:graphic>
                </wp:anchor>
              </w:drawing>
            </w:r>
            <w:r>
              <w:rPr>
                <w:rFonts w:hint="eastAsia" w:ascii="仿宋_GB2312" w:hAnsi="仿宋_GB2312" w:eastAsia="仿宋_GB2312" w:cs="仿宋_GB2312"/>
                <w:b/>
                <w:bCs/>
                <w:color w:val="auto"/>
                <w:sz w:val="30"/>
                <w:szCs w:val="30"/>
                <w:highlight w:val="none"/>
                <w:lang w:val="en-US" w:eastAsia="zh-CN"/>
              </w:rPr>
              <w:t>图3 横荷街片区行政区域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atLeast"/>
        </w:trPr>
        <w:tc>
          <w:tcPr>
            <w:tcW w:w="7396" w:type="dxa"/>
            <w:tcBorders>
              <w:top w:val="nil"/>
              <w:left w:val="nil"/>
              <w:bottom w:val="nil"/>
              <w:right w:val="nil"/>
            </w:tcBorders>
          </w:tcPr>
          <w:p>
            <w:pPr>
              <w:keepNext w:val="0"/>
              <w:keepLines w:val="0"/>
              <w:pageBreakBefore w:val="0"/>
              <w:widowControl w:val="0"/>
              <w:numPr>
                <w:ilvl w:val="0"/>
                <w:numId w:val="0"/>
              </w:numPr>
              <w:tabs>
                <w:tab w:val="left" w:pos="312"/>
              </w:tabs>
              <w:kinsoku/>
              <w:wordWrap/>
              <w:overflowPunct/>
              <w:topLinePunct w:val="0"/>
              <w:autoSpaceDE/>
              <w:autoSpaceDN/>
              <w:bidi w:val="0"/>
              <w:adjustRightInd w:val="0"/>
              <w:snapToGrid w:val="0"/>
              <w:spacing w:line="240" w:lineRule="auto"/>
              <w:ind w:right="0" w:rightChars="0"/>
              <w:jc w:val="center"/>
              <w:textAlignment w:val="auto"/>
              <w:rPr>
                <w:rFonts w:hint="eastAsia" w:ascii="仿宋_GB2312" w:hAnsi="仿宋_GB2312" w:eastAsia="仿宋_GB2312" w:cs="仿宋_GB2312"/>
                <w:b/>
                <w:bCs/>
                <w:i w:val="0"/>
                <w:iCs w:val="0"/>
                <w:color w:val="FF0000"/>
                <w:kern w:val="0"/>
                <w:sz w:val="30"/>
                <w:szCs w:val="30"/>
                <w:highlight w:val="none"/>
                <w:u w:val="none"/>
                <w:vertAlign w:val="baseline"/>
                <w:lang w:val="en-US" w:eastAsia="zh-CN" w:bidi="ar"/>
              </w:rPr>
            </w:pPr>
            <w:r>
              <w:rPr>
                <w:rFonts w:hint="eastAsia" w:ascii="仿宋_GB2312" w:hAnsi="仿宋_GB2312" w:eastAsia="仿宋_GB2312" w:cs="仿宋_GB2312"/>
                <w:b/>
                <w:bCs/>
                <w:color w:val="auto"/>
                <w:sz w:val="30"/>
                <w:szCs w:val="30"/>
                <w:highlight w:val="none"/>
                <w:lang w:val="en-US" w:eastAsia="zh-CN"/>
              </w:rPr>
              <w:drawing>
                <wp:anchor distT="0" distB="0" distL="114300" distR="114300" simplePos="0" relativeHeight="251660288" behindDoc="0" locked="0" layoutInCell="1" allowOverlap="1">
                  <wp:simplePos x="0" y="0"/>
                  <wp:positionH relativeFrom="column">
                    <wp:posOffset>557530</wp:posOffset>
                  </wp:positionH>
                  <wp:positionV relativeFrom="paragraph">
                    <wp:posOffset>52070</wp:posOffset>
                  </wp:positionV>
                  <wp:extent cx="3505835" cy="3266440"/>
                  <wp:effectExtent l="0" t="0" r="18415" b="10160"/>
                  <wp:wrapTopAndBottom/>
                  <wp:docPr id="4" name="图片 4" descr="街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区"/>
                          <pic:cNvPicPr>
                            <a:picLocks noChangeAspect="1"/>
                          </pic:cNvPicPr>
                        </pic:nvPicPr>
                        <pic:blipFill>
                          <a:blip r:embed="rId11"/>
                          <a:srcRect l="11038" t="2606" r="16955" b="2509"/>
                          <a:stretch>
                            <a:fillRect/>
                          </a:stretch>
                        </pic:blipFill>
                        <pic:spPr>
                          <a:xfrm>
                            <a:off x="0" y="0"/>
                            <a:ext cx="3505835" cy="3266440"/>
                          </a:xfrm>
                          <a:prstGeom prst="rect">
                            <a:avLst/>
                          </a:prstGeom>
                        </pic:spPr>
                      </pic:pic>
                    </a:graphicData>
                  </a:graphic>
                </wp:anchor>
              </w:drawing>
            </w:r>
            <w:r>
              <w:rPr>
                <w:rFonts w:hint="eastAsia" w:ascii="仿宋_GB2312" w:hAnsi="仿宋_GB2312" w:eastAsia="仿宋_GB2312" w:cs="仿宋_GB2312"/>
                <w:b/>
                <w:bCs/>
                <w:color w:val="auto"/>
                <w:sz w:val="30"/>
                <w:szCs w:val="30"/>
                <w:highlight w:val="none"/>
                <w:lang w:val="en-US" w:eastAsia="zh-CN"/>
              </w:rPr>
              <w:t>图4 横荷街片区各村居行政区域</w:t>
            </w:r>
          </w:p>
        </w:tc>
      </w:tr>
    </w:tbl>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sz w:val="32"/>
          <w:szCs w:val="32"/>
          <w:highlight w:val="none"/>
          <w:lang w:eastAsia="zh-CN"/>
        </w:rPr>
        <w:t>因场地不足等原因无法设置固定社区回收网点的区域，应设置流动社区回收网点，采用定时、定点集中服务方式。设置预约方式进行回收,预约形式包括但不限于电话预约、APP预约和网络预约</w:t>
      </w:r>
      <w:r>
        <w:rPr>
          <w:rFonts w:hint="eastAsia" w:ascii="仿宋_GB2312" w:hAnsi="仿宋_GB2312" w:eastAsia="仿宋_GB2312" w:cs="仿宋_GB2312"/>
          <w:sz w:val="32"/>
          <w:szCs w:val="32"/>
          <w:highlight w:val="none"/>
        </w:rPr>
        <w:t>。</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（二）社区回收网点的建设指引</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社区回收网点</w:t>
      </w:r>
      <w:r>
        <w:rPr>
          <w:rFonts w:hint="eastAsia" w:ascii="仿宋_GB2312" w:hAnsi="仿宋_GB2312" w:eastAsia="仿宋_GB2312" w:cs="仿宋_GB2312"/>
          <w:sz w:val="32"/>
          <w:szCs w:val="32"/>
          <w:highlight w:val="none"/>
        </w:rPr>
        <w:t>的选址应根据人口规模、区域面积、交通状况、资源状况等因素进行综合考虑，</w:t>
      </w:r>
      <w:r>
        <w:rPr>
          <w:rFonts w:hint="eastAsia" w:ascii="仿宋_GB2312" w:hAnsi="仿宋_GB2312" w:eastAsia="仿宋_GB2312" w:cs="仿宋_GB2312"/>
          <w:sz w:val="32"/>
          <w:szCs w:val="32"/>
          <w:highlight w:val="none"/>
          <w:lang w:eastAsia="zh-CN"/>
        </w:rPr>
        <w:t>再生资源</w:t>
      </w:r>
      <w:r>
        <w:rPr>
          <w:rFonts w:hint="eastAsia" w:ascii="仿宋_GB2312" w:hAnsi="仿宋_GB2312" w:eastAsia="仿宋_GB2312" w:cs="仿宋_GB2312"/>
          <w:sz w:val="32"/>
          <w:szCs w:val="32"/>
          <w:highlight w:val="none"/>
        </w:rPr>
        <w:t>的收集、储存、运输全过程应符合安全、环保、消防、卫生相关管理规定。</w:t>
      </w:r>
      <w:r>
        <w:rPr>
          <w:rFonts w:hint="eastAsia" w:ascii="仿宋_GB2312" w:hAnsi="仿宋_GB2312" w:eastAsia="仿宋_GB2312" w:cs="仿宋_GB2312"/>
          <w:sz w:val="32"/>
          <w:szCs w:val="32"/>
          <w:highlight w:val="none"/>
          <w:lang w:eastAsia="zh-CN"/>
        </w:rPr>
        <w:t>社区回收网点可分为固定社区回收网点和流动社区回收网点。</w:t>
      </w:r>
    </w:p>
    <w:p>
      <w:pPr>
        <w:pageBreakBefore w:val="0"/>
        <w:numPr>
          <w:ilvl w:val="0"/>
          <w:numId w:val="0"/>
        </w:numPr>
        <w:kinsoku/>
        <w:overflowPunct/>
        <w:topLinePunct w:val="0"/>
        <w:autoSpaceDE/>
        <w:autoSpaceDN/>
        <w:bidi w:val="0"/>
        <w:spacing w:line="560" w:lineRule="exact"/>
        <w:ind w:firstLine="640" w:firstLineChars="200"/>
        <w:rPr>
          <w:rFonts w:hint="default"/>
          <w:lang w:val="en-US" w:eastAsia="zh-CN"/>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固定社区回收网点可分为门店式和箱体式。</w:t>
      </w:r>
      <w:r>
        <w:rPr>
          <w:rFonts w:hint="eastAsia" w:ascii="仿宋_GB2312" w:hAnsi="仿宋_GB2312" w:eastAsia="仿宋_GB2312" w:cs="仿宋_GB2312"/>
          <w:sz w:val="32"/>
          <w:szCs w:val="32"/>
          <w:highlight w:val="none"/>
          <w:lang w:val="en-US" w:eastAsia="zh-CN"/>
        </w:rPr>
        <w:t>通过人工服务和自助、智能交投的服务方式，结合生活垃圾分类点综合设置固定社区回收网点。</w:t>
      </w:r>
    </w:p>
    <w:tbl>
      <w:tblPr>
        <w:tblStyle w:val="9"/>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43"/>
        <w:gridCol w:w="767"/>
        <w:gridCol w:w="6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24" w:hRule="atLeast"/>
        </w:trPr>
        <w:tc>
          <w:tcPr>
            <w:tcW w:w="8320" w:type="dxa"/>
            <w:gridSpan w:val="3"/>
            <w:tcBorders>
              <w:top w:val="nil"/>
              <w:left w:val="nil"/>
              <w:bottom w:val="single" w:color="auto"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b/>
                <w:bCs/>
                <w:i w:val="0"/>
                <w:iCs w:val="0"/>
                <w:color w:val="auto"/>
                <w:sz w:val="32"/>
                <w:szCs w:val="32"/>
                <w:highlight w:val="none"/>
                <w:u w:val="none"/>
              </w:rPr>
            </w:pPr>
            <w:r>
              <w:rPr>
                <w:rFonts w:hint="eastAsia" w:ascii="仿宋_GB2312" w:hAnsi="仿宋_GB2312" w:eastAsia="仿宋_GB2312" w:cs="仿宋_GB2312"/>
                <w:b/>
                <w:bCs/>
                <w:i w:val="0"/>
                <w:iCs w:val="0"/>
                <w:color w:val="auto"/>
                <w:kern w:val="0"/>
                <w:sz w:val="32"/>
                <w:szCs w:val="32"/>
                <w:highlight w:val="none"/>
                <w:u w:val="none"/>
                <w:lang w:val="en-US" w:eastAsia="zh-CN" w:bidi="ar"/>
              </w:rPr>
              <w:t>表2 固定社区回收网点建设指引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12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lang w:eastAsia="zh-CN"/>
              </w:rPr>
            </w:pPr>
            <w:r>
              <w:rPr>
                <w:rFonts w:hint="eastAsia" w:ascii="仿宋_GB2312" w:hAnsi="仿宋_GB2312" w:eastAsia="仿宋_GB2312" w:cs="仿宋_GB2312"/>
                <w:i w:val="0"/>
                <w:iCs w:val="0"/>
                <w:color w:val="auto"/>
                <w:sz w:val="28"/>
                <w:szCs w:val="28"/>
                <w:highlight w:val="none"/>
                <w:u w:val="none"/>
                <w:lang w:eastAsia="zh-CN"/>
              </w:rPr>
              <w:t>固定社区回收网点</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场地要求</w:t>
            </w:r>
          </w:p>
        </w:tc>
        <w:tc>
          <w:tcPr>
            <w:tcW w:w="63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0" w:firstLineChars="0"/>
              <w:jc w:val="both"/>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①门店式社区回收网点建筑面积不宜少于20m²、有稳固的场所，硬底化，不允许露天堆放；箱体式总容积不宜小于3m³；</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0" w:firstLineChars="0"/>
              <w:jc w:val="both"/>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②建设规范需要符合国家和地方标准，以符合环保、市容环境卫生、消防、运输管理各类相关要求为原则；</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color w:val="auto"/>
                <w:sz w:val="24"/>
                <w:szCs w:val="24"/>
                <w:highlight w:val="none"/>
                <w:u w:val="none"/>
                <w:lang w:val="en-US" w:eastAsia="zh-CN"/>
              </w:rPr>
              <w:t>③设置公示牌，公示内容应包括运营单位、管理单位及其联系方式、服务时间、责任人证照、可回收物种类和价格表、作业规范、服务守则、公安部门明令禁止回收品类表等。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67" w:hRule="atLeast"/>
        </w:trPr>
        <w:tc>
          <w:tcPr>
            <w:tcW w:w="1243"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6310"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4" w:hRule="atLeast"/>
        </w:trPr>
        <w:tc>
          <w:tcPr>
            <w:tcW w:w="1243"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6310"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2" w:hRule="atLeast"/>
        </w:trPr>
        <w:tc>
          <w:tcPr>
            <w:tcW w:w="1243"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设施要求</w:t>
            </w:r>
          </w:p>
        </w:tc>
        <w:tc>
          <w:tcPr>
            <w:tcW w:w="63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val="en-US" w:eastAsia="zh-CN"/>
              </w:rPr>
              <w:t>①配备干粉灭火器，灭火器的规格和数量符合消防相关规定；</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val="en-US" w:eastAsia="zh-CN"/>
              </w:rPr>
              <w:t>②应配置检验合格和数据联网的称重设备，并定期校准；</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val="en-US" w:eastAsia="zh-CN"/>
              </w:rPr>
              <w:t>③应确保回收设备和系统正常运行，并定期维护；</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u w:val="none"/>
                <w:lang w:val="en-US" w:eastAsia="zh-CN"/>
              </w:rPr>
              <w:t>④宜配备消杀、劳动保护等工具；</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rPr>
            </w:pPr>
            <w:r>
              <w:rPr>
                <w:rFonts w:hint="eastAsia" w:ascii="仿宋_GB2312" w:hAnsi="仿宋_GB2312" w:eastAsia="仿宋_GB2312" w:cs="仿宋_GB2312"/>
                <w:color w:val="auto"/>
                <w:sz w:val="28"/>
                <w:szCs w:val="28"/>
                <w:highlight w:val="none"/>
                <w:u w:val="none"/>
                <w:lang w:val="en-US" w:eastAsia="zh-CN"/>
              </w:rPr>
              <w:t>⑥严禁烟火。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2" w:hRule="atLeast"/>
        </w:trPr>
        <w:tc>
          <w:tcPr>
            <w:tcW w:w="1243"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32"/>
                <w:szCs w:val="32"/>
                <w:highlight w:val="none"/>
                <w:u w:val="none"/>
              </w:rPr>
            </w:pPr>
          </w:p>
        </w:tc>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32"/>
                <w:szCs w:val="32"/>
                <w:highlight w:val="none"/>
                <w:u w:val="none"/>
              </w:rPr>
            </w:pPr>
          </w:p>
        </w:tc>
        <w:tc>
          <w:tcPr>
            <w:tcW w:w="63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32"/>
                <w:szCs w:val="3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06" w:hRule="atLeast"/>
        </w:trPr>
        <w:tc>
          <w:tcPr>
            <w:tcW w:w="1243"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32"/>
                <w:szCs w:val="32"/>
                <w:highlight w:val="none"/>
                <w:u w:val="none"/>
              </w:rPr>
            </w:pPr>
          </w:p>
        </w:tc>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32"/>
                <w:szCs w:val="32"/>
                <w:highlight w:val="none"/>
                <w:u w:val="none"/>
              </w:rPr>
            </w:pPr>
          </w:p>
        </w:tc>
        <w:tc>
          <w:tcPr>
            <w:tcW w:w="63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32"/>
                <w:szCs w:val="3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43"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32"/>
                <w:szCs w:val="32"/>
                <w:highlight w:val="none"/>
                <w:u w:val="none"/>
              </w:rPr>
            </w:pPr>
          </w:p>
        </w:tc>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32"/>
                <w:szCs w:val="32"/>
                <w:highlight w:val="none"/>
                <w:u w:val="none"/>
              </w:rPr>
            </w:pPr>
          </w:p>
        </w:tc>
        <w:tc>
          <w:tcPr>
            <w:tcW w:w="63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32"/>
                <w:szCs w:val="3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2" w:hRule="atLeast"/>
        </w:trPr>
        <w:tc>
          <w:tcPr>
            <w:tcW w:w="1243"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32"/>
                <w:szCs w:val="32"/>
                <w:highlight w:val="none"/>
                <w:u w:val="none"/>
              </w:rPr>
            </w:pPr>
          </w:p>
        </w:tc>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p>
          <w:p>
            <w:pPr>
              <w:pStyle w:val="2"/>
              <w:rPr>
                <w:rFonts w:hint="eastAsia"/>
                <w:lang w:val="en-US" w:eastAsia="zh-CN"/>
              </w:rPr>
            </w:pPr>
          </w:p>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经营要求</w:t>
            </w:r>
          </w:p>
        </w:tc>
        <w:tc>
          <w:tcPr>
            <w:tcW w:w="63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lang w:val="en-US" w:eastAsia="zh-CN"/>
              </w:rPr>
            </w:pPr>
            <w:r>
              <w:rPr>
                <w:rFonts w:hint="eastAsia" w:ascii="仿宋_GB2312" w:hAnsi="仿宋_GB2312" w:eastAsia="仿宋_GB2312" w:cs="仿宋_GB2312"/>
                <w:color w:val="auto"/>
                <w:sz w:val="28"/>
                <w:szCs w:val="28"/>
                <w:highlight w:val="none"/>
                <w:u w:val="none"/>
              </w:rPr>
              <w:t>①</w:t>
            </w:r>
            <w:r>
              <w:rPr>
                <w:rFonts w:hint="eastAsia" w:ascii="仿宋_GB2312" w:hAnsi="仿宋_GB2312" w:eastAsia="仿宋_GB2312" w:cs="仿宋_GB2312"/>
                <w:color w:val="auto"/>
                <w:sz w:val="28"/>
                <w:szCs w:val="28"/>
                <w:highlight w:val="none"/>
                <w:u w:val="none"/>
                <w:lang w:val="en-US" w:eastAsia="zh-CN"/>
              </w:rPr>
              <w:t>从事再生资源回收经营活动，必须符合市场监督管理登记条件，工商注册登记后，方可从事经营活动；</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rPr>
              <w:t>②</w:t>
            </w:r>
            <w:r>
              <w:rPr>
                <w:rFonts w:hint="eastAsia" w:ascii="仿宋_GB2312" w:hAnsi="仿宋_GB2312" w:eastAsia="仿宋_GB2312" w:cs="仿宋_GB2312"/>
                <w:color w:val="auto"/>
                <w:sz w:val="28"/>
                <w:szCs w:val="28"/>
                <w:highlight w:val="none"/>
                <w:u w:val="none"/>
                <w:lang w:eastAsia="zh-CN"/>
              </w:rPr>
              <w:t>需取得属地街道办事处或上级政府部门的行政许可审批同意；</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③严格遵守作业规范，统一计量</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rPr>
              <w:t>统一价格、</w:t>
            </w:r>
            <w:r>
              <w:rPr>
                <w:rFonts w:hint="eastAsia" w:ascii="仿宋_GB2312" w:hAnsi="仿宋_GB2312" w:eastAsia="仿宋_GB2312" w:cs="仿宋_GB2312"/>
                <w:color w:val="auto"/>
                <w:sz w:val="28"/>
                <w:szCs w:val="28"/>
                <w:highlight w:val="none"/>
                <w:u w:val="none"/>
                <w:lang w:val="en-US" w:eastAsia="zh-CN"/>
              </w:rPr>
              <w:t>统一着装、</w:t>
            </w:r>
            <w:r>
              <w:rPr>
                <w:rFonts w:hint="eastAsia" w:ascii="仿宋_GB2312" w:hAnsi="仿宋_GB2312" w:eastAsia="仿宋_GB2312" w:cs="仿宋_GB2312"/>
                <w:color w:val="auto"/>
                <w:sz w:val="28"/>
                <w:szCs w:val="28"/>
                <w:highlight w:val="none"/>
                <w:u w:val="none"/>
              </w:rPr>
              <w:t>统一车辆</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rPr>
              <w:t>统一管理；</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④严格按照作业规范，作业活动必须符合安全、环保、消防、卫生相关管理规定，不得占用回收网点外场地经营，不得有拆解行为和二次污染发生；</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color w:val="auto"/>
                <w:sz w:val="28"/>
                <w:szCs w:val="28"/>
                <w:highlight w:val="none"/>
                <w:u w:val="none"/>
              </w:rPr>
              <w:t>⑤建立回收台账并定期上报。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2" w:hRule="atLeast"/>
        </w:trPr>
        <w:tc>
          <w:tcPr>
            <w:tcW w:w="1243"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32"/>
                <w:szCs w:val="32"/>
                <w:highlight w:val="none"/>
                <w:u w:val="none"/>
              </w:rPr>
            </w:pPr>
          </w:p>
        </w:tc>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32"/>
                <w:szCs w:val="32"/>
                <w:highlight w:val="none"/>
                <w:u w:val="none"/>
              </w:rPr>
            </w:pPr>
          </w:p>
        </w:tc>
        <w:tc>
          <w:tcPr>
            <w:tcW w:w="63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32"/>
                <w:szCs w:val="32"/>
                <w:highlight w:val="none"/>
                <w:u w:val="none"/>
              </w:rPr>
            </w:pPr>
          </w:p>
        </w:tc>
      </w:tr>
    </w:tbl>
    <w:p>
      <w:pPr>
        <w:pageBreakBefore w:val="0"/>
        <w:numPr>
          <w:ilvl w:val="0"/>
          <w:numId w:val="0"/>
        </w:numPr>
        <w:kinsoku/>
        <w:overflowPunct/>
        <w:topLinePunct w:val="0"/>
        <w:autoSpaceDE/>
        <w:autoSpaceDN/>
        <w:bidi w:val="0"/>
        <w:spacing w:line="560" w:lineRule="exact"/>
        <w:rPr>
          <w:rFonts w:hint="eastAsia" w:ascii="仿宋_GB2312" w:hAnsi="仿宋_GB2312" w:eastAsia="仿宋_GB2312" w:cs="仿宋_GB2312"/>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eastAsia" w:ascii="仿宋_GB2312" w:hAnsi="仿宋_GB2312" w:eastAsia="仿宋_GB2312" w:cs="仿宋_GB2312"/>
          <w:sz w:val="32"/>
          <w:szCs w:val="32"/>
          <w:highlight w:val="none"/>
          <w:lang w:val="en-US" w:eastAsia="zh-CN"/>
        </w:rPr>
        <w:t>2.流动社区回收网点是指运用车辆进行流动交投。</w:t>
      </w:r>
    </w:p>
    <w:tbl>
      <w:tblPr>
        <w:tblStyle w:val="9"/>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43"/>
        <w:gridCol w:w="767"/>
        <w:gridCol w:w="6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24" w:hRule="atLeast"/>
        </w:trPr>
        <w:tc>
          <w:tcPr>
            <w:tcW w:w="8320" w:type="dxa"/>
            <w:gridSpan w:val="3"/>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b/>
                <w:bCs/>
                <w:i w:val="0"/>
                <w:iCs w:val="0"/>
                <w:color w:val="auto"/>
                <w:sz w:val="32"/>
                <w:szCs w:val="32"/>
                <w:highlight w:val="none"/>
                <w:u w:val="none"/>
              </w:rPr>
            </w:pPr>
            <w:r>
              <w:rPr>
                <w:rFonts w:hint="eastAsia" w:ascii="仿宋_GB2312" w:hAnsi="仿宋_GB2312" w:eastAsia="仿宋_GB2312" w:cs="仿宋_GB2312"/>
                <w:b/>
                <w:bCs/>
                <w:i w:val="0"/>
                <w:iCs w:val="0"/>
                <w:color w:val="auto"/>
                <w:kern w:val="0"/>
                <w:sz w:val="32"/>
                <w:szCs w:val="32"/>
                <w:highlight w:val="none"/>
                <w:u w:val="none"/>
                <w:lang w:val="en-US" w:eastAsia="zh-CN" w:bidi="ar"/>
              </w:rPr>
              <w:t>表3 流动社区回收网点建设指引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1" w:hRule="atLeast"/>
        </w:trPr>
        <w:tc>
          <w:tcPr>
            <w:tcW w:w="1243" w:type="dxa"/>
            <w:vMerge w:val="restart"/>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流动社区回收网点</w:t>
            </w:r>
          </w:p>
        </w:tc>
        <w:tc>
          <w:tcPr>
            <w:tcW w:w="767" w:type="dxa"/>
            <w:vMerge w:val="restart"/>
            <w:tcBorders>
              <w:top w:val="single" w:color="1F2329"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设施要求</w:t>
            </w:r>
          </w:p>
        </w:tc>
        <w:tc>
          <w:tcPr>
            <w:tcW w:w="6310" w:type="dxa"/>
            <w:vMerge w:val="restart"/>
            <w:tcBorders>
              <w:top w:val="single" w:color="1F2329"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sz w:val="28"/>
                <w:szCs w:val="28"/>
                <w:highlight w:val="none"/>
                <w:u w:val="none"/>
              </w:rPr>
              <w:t>①应在提供服务的区域设立明显标识；</w:t>
            </w:r>
          </w:p>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sz w:val="28"/>
                <w:szCs w:val="28"/>
                <w:highlight w:val="none"/>
                <w:u w:val="none"/>
              </w:rPr>
              <w:t>②应使用封闭式厢式货车,并喷绘统一的标识,随车配备收集袋（箱）；</w:t>
            </w:r>
          </w:p>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sz w:val="28"/>
                <w:szCs w:val="28"/>
                <w:highlight w:val="none"/>
                <w:u w:val="none"/>
              </w:rPr>
              <w:t>③人工回收小工具车应为封闭式，具备防雨防漏功能，容量为 1-3 m</w:t>
            </w:r>
            <w:r>
              <w:rPr>
                <w:rFonts w:hint="eastAsia" w:ascii="仿宋_GB2312" w:hAnsi="仿宋_GB2312" w:eastAsia="仿宋_GB2312" w:cs="仿宋_GB2312"/>
                <w:i w:val="0"/>
                <w:iCs w:val="0"/>
                <w:color w:val="auto"/>
                <w:sz w:val="28"/>
                <w:szCs w:val="28"/>
                <w:highlight w:val="none"/>
                <w:u w:val="none"/>
                <w:lang w:val="en-US" w:eastAsia="zh-CN"/>
              </w:rPr>
              <w:t>³</w:t>
            </w:r>
            <w:r>
              <w:rPr>
                <w:rFonts w:hint="eastAsia" w:ascii="仿宋_GB2312" w:hAnsi="仿宋_GB2312" w:eastAsia="仿宋_GB2312" w:cs="仿宋_GB2312"/>
                <w:i w:val="0"/>
                <w:iCs w:val="0"/>
                <w:color w:val="auto"/>
                <w:sz w:val="28"/>
                <w:szCs w:val="28"/>
                <w:highlight w:val="none"/>
                <w:u w:val="none"/>
              </w:rPr>
              <w:t xml:space="preserve">； </w:t>
            </w:r>
          </w:p>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sz w:val="28"/>
                <w:szCs w:val="28"/>
                <w:highlight w:val="none"/>
                <w:u w:val="none"/>
              </w:rPr>
              <w:t>④人工回收小工具车统一外观标识、统一运输车型、统一编号管理。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67" w:hRule="atLeast"/>
        </w:trPr>
        <w:tc>
          <w:tcPr>
            <w:tcW w:w="1243"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767"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6310"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8" w:hRule="atLeast"/>
        </w:trPr>
        <w:tc>
          <w:tcPr>
            <w:tcW w:w="1243"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767"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rPr>
            </w:pPr>
          </w:p>
        </w:tc>
        <w:tc>
          <w:tcPr>
            <w:tcW w:w="6310"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30" w:hRule="atLeast"/>
        </w:trPr>
        <w:tc>
          <w:tcPr>
            <w:tcW w:w="1243" w:type="dxa"/>
            <w:vMerge w:val="continue"/>
            <w:tcBorders>
              <w:top w:val="single" w:color="1F2329"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经营要求</w:t>
            </w:r>
          </w:p>
        </w:tc>
        <w:tc>
          <w:tcPr>
            <w:tcW w:w="6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sz w:val="28"/>
                <w:szCs w:val="28"/>
                <w:highlight w:val="none"/>
                <w:u w:val="none"/>
              </w:rPr>
              <w:t>①</w:t>
            </w:r>
            <w:r>
              <w:rPr>
                <w:rFonts w:hint="eastAsia" w:ascii="仿宋_GB2312" w:hAnsi="仿宋_GB2312" w:eastAsia="仿宋_GB2312" w:cs="仿宋_GB2312"/>
                <w:color w:val="auto"/>
                <w:sz w:val="28"/>
                <w:szCs w:val="28"/>
                <w:highlight w:val="none"/>
                <w:u w:val="none"/>
                <w:lang w:eastAsia="zh-CN"/>
              </w:rPr>
              <w:t>需取得属地街道办事处或上级政府部门的行政许可审批同意；</w:t>
            </w:r>
          </w:p>
          <w:p>
            <w:pPr>
              <w:keepNext w:val="0"/>
              <w:keepLines w:val="0"/>
              <w:pageBreakBefore w:val="0"/>
              <w:kinsoku/>
              <w:wordWrap/>
              <w:overflowPunct/>
              <w:topLinePunct w:val="0"/>
              <w:autoSpaceDE/>
              <w:autoSpaceDN/>
              <w:bidi w:val="0"/>
              <w:spacing w:line="560" w:lineRule="exact"/>
              <w:jc w:val="both"/>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sz w:val="28"/>
                <w:szCs w:val="28"/>
                <w:highlight w:val="none"/>
                <w:u w:val="none"/>
              </w:rPr>
              <w:t>②从业人员统一人员着装，回收活动必须符合安全、环保、消防、卫生等相关规定；</w:t>
            </w:r>
          </w:p>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sz w:val="28"/>
                <w:szCs w:val="28"/>
                <w:highlight w:val="none"/>
                <w:u w:val="none"/>
              </w:rPr>
              <w:t>③应配备检定合格的计量器具；</w:t>
            </w:r>
          </w:p>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lang w:eastAsia="zh-CN"/>
              </w:rPr>
            </w:pPr>
            <w:r>
              <w:rPr>
                <w:rFonts w:hint="eastAsia" w:ascii="仿宋_GB2312" w:hAnsi="仿宋_GB2312" w:eastAsia="仿宋_GB2312" w:cs="仿宋_GB2312"/>
                <w:i w:val="0"/>
                <w:iCs w:val="0"/>
                <w:color w:val="auto"/>
                <w:sz w:val="28"/>
                <w:szCs w:val="28"/>
                <w:highlight w:val="none"/>
                <w:u w:val="none"/>
              </w:rPr>
              <w:t>④流动回收要求日收日清；</w:t>
            </w:r>
          </w:p>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lang w:eastAsia="zh-CN"/>
              </w:rPr>
            </w:pPr>
            <w:r>
              <w:rPr>
                <w:rFonts w:hint="eastAsia" w:ascii="仿宋_GB2312" w:hAnsi="仿宋_GB2312" w:eastAsia="仿宋_GB2312" w:cs="仿宋_GB2312"/>
                <w:i w:val="0"/>
                <w:iCs w:val="0"/>
                <w:color w:val="auto"/>
                <w:sz w:val="28"/>
                <w:szCs w:val="28"/>
                <w:highlight w:val="none"/>
                <w:u w:val="none"/>
              </w:rPr>
              <w:t>⑤建立回收台账并定期上报</w:t>
            </w:r>
            <w:r>
              <w:rPr>
                <w:rFonts w:hint="eastAsia" w:ascii="仿宋_GB2312" w:hAnsi="仿宋_GB2312" w:eastAsia="仿宋_GB2312" w:cs="仿宋_GB2312"/>
                <w:i w:val="0"/>
                <w:iCs w:val="0"/>
                <w:color w:val="auto"/>
                <w:sz w:val="28"/>
                <w:szCs w:val="28"/>
                <w:highlight w:val="none"/>
                <w:u w:val="none"/>
                <w:lang w:eastAsia="zh-CN"/>
              </w:rPr>
              <w:t>。</w:t>
            </w:r>
          </w:p>
        </w:tc>
      </w:tr>
    </w:tbl>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29" w:name="_Toc29951"/>
      <w:r>
        <w:rPr>
          <w:rFonts w:hint="eastAsia" w:ascii="黑体" w:hAnsi="黑体" w:eastAsia="黑体" w:cs="黑体"/>
          <w:b w:val="0"/>
          <w:bCs w:val="0"/>
          <w:color w:val="auto"/>
          <w:sz w:val="32"/>
          <w:szCs w:val="32"/>
          <w:highlight w:val="none"/>
          <w:lang w:val="en-US" w:eastAsia="zh-CN"/>
        </w:rPr>
        <w:t>四、优化再生资源中转站布局</w:t>
      </w:r>
      <w:bookmarkEnd w:id="129"/>
    </w:p>
    <w:p>
      <w:pPr>
        <w:pageBreakBefore w:val="0"/>
        <w:kinsoku/>
        <w:overflowPunct/>
        <w:topLinePunct w:val="0"/>
        <w:autoSpaceDE/>
        <w:autoSpaceDN/>
        <w:bidi w:val="0"/>
        <w:spacing w:line="560" w:lineRule="exact"/>
        <w:ind w:firstLine="640" w:firstLineChars="200"/>
        <w:rPr>
          <w:rFonts w:hint="eastAsia"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（一）中转站的布局设计</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中转站是</w:t>
      </w:r>
      <w:r>
        <w:rPr>
          <w:rFonts w:hint="eastAsia" w:ascii="仿宋_GB2312" w:hAnsi="仿宋_GB2312" w:eastAsia="仿宋_GB2312" w:cs="仿宋_GB2312"/>
          <w:sz w:val="32"/>
          <w:szCs w:val="32"/>
          <w:highlight w:val="none"/>
          <w:lang w:eastAsia="zh-CN"/>
        </w:rPr>
        <w:t>再生资源</w:t>
      </w:r>
      <w:r>
        <w:rPr>
          <w:rFonts w:hint="eastAsia" w:ascii="仿宋_GB2312" w:hAnsi="仿宋_GB2312" w:eastAsia="仿宋_GB2312" w:cs="仿宋_GB2312"/>
          <w:sz w:val="32"/>
          <w:szCs w:val="32"/>
          <w:highlight w:val="none"/>
        </w:rPr>
        <w:t>回收处理体系的纽带部分，结合现状中转站情况及</w:t>
      </w:r>
      <w:r>
        <w:rPr>
          <w:rFonts w:hint="eastAsia" w:ascii="仿宋_GB2312" w:hAnsi="仿宋_GB2312" w:eastAsia="仿宋_GB2312" w:cs="仿宋_GB2312"/>
          <w:sz w:val="32"/>
          <w:szCs w:val="32"/>
          <w:highlight w:val="none"/>
          <w:lang w:eastAsia="zh-CN"/>
        </w:rPr>
        <w:t>横荷街道</w:t>
      </w:r>
      <w:r>
        <w:rPr>
          <w:rFonts w:hint="eastAsia" w:ascii="仿宋_GB2312" w:hAnsi="仿宋_GB2312" w:eastAsia="仿宋_GB2312" w:cs="仿宋_GB2312"/>
          <w:sz w:val="32"/>
          <w:szCs w:val="32"/>
          <w:highlight w:val="none"/>
        </w:rPr>
        <w:t>实际，</w:t>
      </w:r>
      <w:r>
        <w:rPr>
          <w:rFonts w:hint="eastAsia" w:ascii="仿宋_GB2312" w:hAnsi="仿宋_GB2312" w:eastAsia="仿宋_GB2312" w:cs="仿宋_GB2312"/>
          <w:sz w:val="32"/>
          <w:szCs w:val="32"/>
          <w:highlight w:val="none"/>
          <w:lang w:eastAsia="zh-CN"/>
        </w:rPr>
        <w:t>计划新增设置再生资源</w:t>
      </w:r>
      <w:r>
        <w:rPr>
          <w:rFonts w:hint="eastAsia" w:ascii="仿宋_GB2312" w:hAnsi="仿宋_GB2312" w:eastAsia="仿宋_GB2312" w:cs="仿宋_GB2312"/>
          <w:sz w:val="32"/>
          <w:szCs w:val="32"/>
          <w:highlight w:val="none"/>
        </w:rPr>
        <w:t>中转站</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处</w:t>
      </w:r>
      <w:r>
        <w:rPr>
          <w:rFonts w:hint="eastAsia" w:ascii="仿宋_GB2312" w:hAnsi="仿宋_GB2312" w:eastAsia="仿宋_GB2312" w:cs="仿宋_GB2312"/>
          <w:sz w:val="32"/>
          <w:szCs w:val="32"/>
          <w:highlight w:val="none"/>
          <w:lang w:eastAsia="zh-CN"/>
        </w:rPr>
        <w:t>，分别是位于横荷街</w:t>
      </w:r>
      <w:r>
        <w:rPr>
          <w:rFonts w:hint="eastAsia" w:ascii="仿宋_GB2312" w:hAnsi="仿宋_GB2312" w:eastAsia="仿宋_GB2312" w:cs="仿宋_GB2312"/>
          <w:color w:val="auto"/>
          <w:sz w:val="32"/>
          <w:szCs w:val="32"/>
          <w:highlight w:val="none"/>
          <w:lang w:eastAsia="zh-CN"/>
        </w:rPr>
        <w:t>道</w:t>
      </w:r>
      <w:r>
        <w:rPr>
          <w:rFonts w:hint="eastAsia" w:ascii="仿宋_GB2312" w:hAnsi="仿宋_GB2312" w:eastAsia="仿宋_GB2312" w:cs="仿宋_GB2312"/>
          <w:color w:val="auto"/>
          <w:sz w:val="32"/>
          <w:szCs w:val="32"/>
          <w:highlight w:val="none"/>
          <w:lang w:val="en-US" w:eastAsia="zh-CN"/>
        </w:rPr>
        <w:t>岗头村委会、青山村委会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highlight w:val="none"/>
          <w:lang w:eastAsia="zh-CN"/>
        </w:rPr>
        <w:t>以辐射全街范围</w:t>
      </w:r>
      <w:r>
        <w:rPr>
          <w:rFonts w:hint="eastAsia" w:ascii="仿宋_GB2312" w:hAnsi="仿宋_GB2312" w:eastAsia="仿宋_GB2312" w:cs="仿宋_GB2312"/>
          <w:sz w:val="32"/>
          <w:szCs w:val="32"/>
          <w:highlight w:val="none"/>
        </w:rPr>
        <w:t>。</w:t>
      </w:r>
    </w:p>
    <w:p>
      <w:pPr>
        <w:pageBreakBefore w:val="0"/>
        <w:kinsoku/>
        <w:overflowPunct/>
        <w:topLinePunct w:val="0"/>
        <w:autoSpaceDE/>
        <w:autoSpaceDN/>
        <w:bidi w:val="0"/>
        <w:spacing w:line="560" w:lineRule="exact"/>
        <w:ind w:firstLine="640" w:firstLineChars="200"/>
        <w:rPr>
          <w:rFonts w:hint="eastAsia" w:eastAsia="仿宋_GB2312"/>
          <w:lang w:eastAsia="zh-CN"/>
        </w:rPr>
      </w:pPr>
      <w:r>
        <w:rPr>
          <w:rFonts w:hint="eastAsia" w:ascii="楷体_GB2312" w:hAnsi="楷体_GB2312" w:eastAsia="楷体_GB2312" w:cs="楷体_GB2312"/>
          <w:b w:val="0"/>
          <w:bCs w:val="0"/>
          <w:color w:val="auto"/>
          <w:sz w:val="32"/>
          <w:szCs w:val="32"/>
          <w:highlight w:val="none"/>
          <w:lang w:eastAsia="zh-CN"/>
        </w:rPr>
        <w:t>（二）中转站的建设指引</w:t>
      </w:r>
    </w:p>
    <w:tbl>
      <w:tblPr>
        <w:tblStyle w:val="9"/>
        <w:tblW w:w="83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7"/>
        <w:gridCol w:w="707"/>
        <w:gridCol w:w="67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PrEx>
        <w:trPr>
          <w:trHeight w:val="699" w:hRule="atLeast"/>
        </w:trPr>
        <w:tc>
          <w:tcPr>
            <w:tcW w:w="8300" w:type="dxa"/>
            <w:gridSpan w:val="3"/>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b/>
                <w:bCs/>
                <w:i w:val="0"/>
                <w:iCs w:val="0"/>
                <w:color w:val="auto"/>
                <w:sz w:val="32"/>
                <w:szCs w:val="32"/>
                <w:highlight w:val="none"/>
                <w:u w:val="none"/>
              </w:rPr>
            </w:pPr>
            <w:r>
              <w:rPr>
                <w:rFonts w:hint="eastAsia" w:ascii="仿宋_GB2312" w:hAnsi="仿宋_GB2312" w:eastAsia="仿宋_GB2312" w:cs="仿宋_GB2312"/>
                <w:b/>
                <w:bCs/>
                <w:i w:val="0"/>
                <w:iCs w:val="0"/>
                <w:color w:val="auto"/>
                <w:kern w:val="0"/>
                <w:sz w:val="32"/>
                <w:szCs w:val="32"/>
                <w:highlight w:val="none"/>
                <w:u w:val="none"/>
                <w:lang w:val="en-US" w:eastAsia="zh-CN" w:bidi="ar"/>
              </w:rPr>
              <w:t>表4  中转站建设指引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61" w:hRule="atLeast"/>
        </w:trPr>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both"/>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中转站</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场地要求</w:t>
            </w:r>
          </w:p>
        </w:tc>
        <w:tc>
          <w:tcPr>
            <w:tcW w:w="6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①场地面积应在100平方米以上，有稳固的厂房，硬底化，不允许露天堆放，并满足通风采光要求，同时内部应划分贮区、作业区；</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②建设规范需要符合国家和地方相关标准，以符合环保、排污、市容环境卫生、消防等各类相关要求为原则。</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③设置公示牌，公示内容应包括运营单位、管理单位及其联系方式、服务时间、责任人证照、可回收物种类和价格表、作业规范、服务守则、公安部门明令禁止回收品类表等。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461"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设施要求</w:t>
            </w:r>
          </w:p>
        </w:tc>
        <w:tc>
          <w:tcPr>
            <w:tcW w:w="6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①应配备干粉灭火器，灭火器的规格和数量符合消防相关规定，并依法取得消防验收和备案；</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②应具备防止地面水、雨水及地下水流入、渗透的装置，达到环保要求；</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③应建立与分拣中心环节的运输设施体系，配备大型封闭式运输设备，并统一标识、统一编号；</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color w:val="auto"/>
                <w:sz w:val="28"/>
                <w:szCs w:val="28"/>
                <w:highlight w:val="none"/>
                <w:u w:val="none"/>
              </w:rPr>
              <w:t>④</w:t>
            </w:r>
            <w:r>
              <w:rPr>
                <w:rFonts w:hint="eastAsia" w:ascii="仿宋_GB2312" w:hAnsi="仿宋_GB2312" w:eastAsia="仿宋_GB2312" w:cs="仿宋_GB2312"/>
                <w:color w:val="auto"/>
                <w:sz w:val="28"/>
                <w:szCs w:val="28"/>
                <w:highlight w:val="none"/>
                <w:lang w:val="en-US" w:eastAsia="zh-CN"/>
              </w:rPr>
              <w:t>建立收运台账并定期上报。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225" w:hRule="atLeast"/>
        </w:trPr>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经营要求</w:t>
            </w:r>
          </w:p>
        </w:tc>
        <w:tc>
          <w:tcPr>
            <w:tcW w:w="6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①</w:t>
            </w:r>
            <w:r>
              <w:rPr>
                <w:rFonts w:hint="eastAsia" w:ascii="仿宋_GB2312" w:hAnsi="仿宋_GB2312" w:eastAsia="仿宋_GB2312" w:cs="仿宋_GB2312"/>
                <w:color w:val="auto"/>
                <w:sz w:val="28"/>
                <w:szCs w:val="28"/>
                <w:highlight w:val="none"/>
                <w:u w:val="none"/>
                <w:lang w:val="en-US" w:eastAsia="zh-CN"/>
              </w:rPr>
              <w:t>符合《清远市“三线一单”生态环境分区管控方案》要求、《清城区招商项目准入管理暂行办法》要求；</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lang w:val="en-US" w:eastAsia="zh-CN"/>
              </w:rPr>
            </w:pPr>
            <w:r>
              <w:rPr>
                <w:rFonts w:hint="eastAsia" w:ascii="仿宋_GB2312" w:hAnsi="仿宋_GB2312" w:eastAsia="仿宋_GB2312" w:cs="仿宋_GB2312"/>
                <w:color w:val="auto"/>
                <w:sz w:val="28"/>
                <w:szCs w:val="28"/>
                <w:highlight w:val="none"/>
                <w:u w:val="none"/>
              </w:rPr>
              <w:t>②</w:t>
            </w:r>
            <w:r>
              <w:rPr>
                <w:rFonts w:hint="eastAsia" w:ascii="仿宋_GB2312" w:hAnsi="仿宋_GB2312" w:eastAsia="仿宋_GB2312" w:cs="仿宋_GB2312"/>
                <w:color w:val="auto"/>
                <w:sz w:val="28"/>
                <w:szCs w:val="28"/>
                <w:highlight w:val="none"/>
                <w:u w:val="none"/>
                <w:lang w:val="en-US" w:eastAsia="zh-CN"/>
              </w:rPr>
              <w:t>从事再生资源回收经营活动，必须符合市场监督管理登记条件，工商注册登记后，方可从事经营活动；</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rPr>
              <w:t>③</w:t>
            </w:r>
            <w:r>
              <w:rPr>
                <w:rFonts w:hint="eastAsia" w:ascii="仿宋_GB2312" w:hAnsi="仿宋_GB2312" w:eastAsia="仿宋_GB2312" w:cs="仿宋_GB2312"/>
                <w:color w:val="auto"/>
                <w:sz w:val="28"/>
                <w:szCs w:val="28"/>
                <w:highlight w:val="none"/>
                <w:u w:val="none"/>
                <w:lang w:eastAsia="zh-CN"/>
              </w:rPr>
              <w:t>需取得属地街道办事处或上级政府部门的行政许可审批同意；</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④</w:t>
            </w:r>
            <w:r>
              <w:rPr>
                <w:rFonts w:hint="eastAsia" w:ascii="仿宋_GB2312" w:hAnsi="仿宋_GB2312" w:eastAsia="仿宋_GB2312" w:cs="仿宋_GB2312"/>
                <w:color w:val="auto"/>
                <w:sz w:val="28"/>
                <w:szCs w:val="28"/>
                <w:highlight w:val="none"/>
                <w:lang w:val="en-US" w:eastAsia="zh-CN"/>
              </w:rPr>
              <w:t>中转站以短期储存再生资源社区回收网点的再生资源为主</w:t>
            </w:r>
            <w:r>
              <w:rPr>
                <w:rFonts w:hint="eastAsia" w:ascii="仿宋_GB2312" w:hAnsi="仿宋_GB2312" w:eastAsia="仿宋_GB2312" w:cs="仿宋_GB2312"/>
                <w:color w:val="auto"/>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⑤</w:t>
            </w:r>
            <w:r>
              <w:rPr>
                <w:rFonts w:hint="eastAsia" w:ascii="仿宋_GB2312" w:hAnsi="仿宋_GB2312" w:eastAsia="仿宋_GB2312" w:cs="仿宋_GB2312"/>
                <w:color w:val="auto"/>
                <w:sz w:val="28"/>
                <w:szCs w:val="28"/>
                <w:highlight w:val="none"/>
                <w:lang w:val="en-US" w:eastAsia="zh-CN"/>
              </w:rPr>
              <w:t>作业活动必须符合安全、环保、消防、市容环境卫生</w:t>
            </w:r>
            <w:r>
              <w:rPr>
                <w:rFonts w:hint="eastAsia" w:ascii="仿宋_GB2312" w:hAnsi="仿宋_GB2312" w:eastAsia="仿宋_GB2312" w:cs="仿宋_GB2312"/>
                <w:i w:val="0"/>
                <w:iCs w:val="0"/>
                <w:color w:val="auto"/>
                <w:kern w:val="0"/>
                <w:sz w:val="28"/>
                <w:szCs w:val="28"/>
                <w:highlight w:val="none"/>
                <w:u w:val="none"/>
                <w:lang w:val="en-US" w:eastAsia="zh-CN" w:bidi="ar"/>
              </w:rPr>
              <w:t>、运输管理</w:t>
            </w:r>
            <w:r>
              <w:rPr>
                <w:rFonts w:hint="eastAsia" w:ascii="仿宋_GB2312" w:hAnsi="仿宋_GB2312" w:eastAsia="仿宋_GB2312" w:cs="仿宋_GB2312"/>
                <w:color w:val="auto"/>
                <w:sz w:val="28"/>
                <w:szCs w:val="28"/>
                <w:highlight w:val="none"/>
                <w:lang w:val="en-US" w:eastAsia="zh-CN"/>
              </w:rPr>
              <w:t>相关管理规定，不得占用中转站外场地，不得有拆解、加工行为，防止二次污染发生</w:t>
            </w:r>
            <w:r>
              <w:rPr>
                <w:rFonts w:hint="eastAsia" w:ascii="仿宋_GB2312" w:hAnsi="仿宋_GB2312" w:eastAsia="仿宋_GB2312" w:cs="仿宋_GB2312"/>
                <w:color w:val="auto"/>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u w:val="none"/>
              </w:rPr>
              <w:t>⑥</w:t>
            </w:r>
            <w:r>
              <w:rPr>
                <w:rFonts w:hint="eastAsia" w:ascii="仿宋_GB2312" w:hAnsi="仿宋_GB2312" w:eastAsia="仿宋_GB2312" w:cs="仿宋_GB2312"/>
                <w:color w:val="auto"/>
                <w:sz w:val="28"/>
                <w:szCs w:val="28"/>
                <w:highlight w:val="none"/>
                <w:lang w:val="en-US" w:eastAsia="zh-CN"/>
              </w:rPr>
              <w:t>站内再生资源应按不同类别储存、堆放整齐；</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u w:val="none"/>
              </w:rPr>
              <w:t>⑦</w:t>
            </w:r>
            <w:r>
              <w:rPr>
                <w:rFonts w:hint="eastAsia" w:ascii="仿宋_GB2312" w:hAnsi="仿宋_GB2312" w:eastAsia="仿宋_GB2312" w:cs="仿宋_GB2312"/>
                <w:color w:val="auto"/>
                <w:sz w:val="28"/>
                <w:szCs w:val="28"/>
                <w:highlight w:val="none"/>
                <w:lang w:val="en-US" w:eastAsia="zh-CN"/>
              </w:rPr>
              <w:t>从业人员应接受岗位知识、技能培训等，培训合格后方可上岗；</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u w:val="none"/>
              </w:rPr>
              <w:t>⑧</w:t>
            </w:r>
            <w:r>
              <w:rPr>
                <w:rFonts w:hint="eastAsia" w:ascii="仿宋_GB2312" w:hAnsi="仿宋_GB2312" w:eastAsia="仿宋_GB2312" w:cs="仿宋_GB2312"/>
                <w:color w:val="auto"/>
                <w:sz w:val="28"/>
                <w:szCs w:val="28"/>
                <w:highlight w:val="none"/>
                <w:lang w:val="en-US" w:eastAsia="zh-CN"/>
              </w:rPr>
              <w:t>应建立安全责任制，中转站主要负责人为第一责任人，发生重大责任事故，要追究其责任；</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color w:val="auto"/>
                <w:sz w:val="28"/>
                <w:szCs w:val="28"/>
                <w:highlight w:val="none"/>
                <w:lang w:val="en-US" w:eastAsia="zh-CN"/>
              </w:rPr>
              <w:t>⑨建立收运台账并定期上报。</w:t>
            </w:r>
          </w:p>
        </w:tc>
      </w:tr>
    </w:tbl>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30" w:name="_Toc32417"/>
      <w:r>
        <w:rPr>
          <w:rFonts w:hint="eastAsia" w:ascii="黑体" w:hAnsi="黑体" w:eastAsia="黑体" w:cs="黑体"/>
          <w:b w:val="0"/>
          <w:bCs w:val="0"/>
          <w:color w:val="auto"/>
          <w:sz w:val="32"/>
          <w:szCs w:val="32"/>
          <w:highlight w:val="none"/>
          <w:lang w:val="en-US" w:eastAsia="zh-CN"/>
        </w:rPr>
        <w:t>五、选址建设再生资源分拣中心</w:t>
      </w:r>
      <w:bookmarkEnd w:id="130"/>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（一）分拣中心的布局设计</w:t>
      </w: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分拣中心在垃圾分类“两网融合”再生资源回收体系建设运营中，具有资源聚集、分类加工、储存运输的功能，是连接产废、回收、利废的关键环节，应承担低值可回收物托底回收工作。</w:t>
      </w:r>
      <w:r>
        <w:rPr>
          <w:rFonts w:hint="eastAsia" w:ascii="仿宋_GB2312" w:hAnsi="仿宋_GB2312" w:eastAsia="仿宋_GB2312" w:cs="仿宋_GB2312"/>
          <w:sz w:val="32"/>
          <w:szCs w:val="32"/>
          <w:highlight w:val="none"/>
        </w:rPr>
        <w:t>结合</w:t>
      </w:r>
      <w:r>
        <w:rPr>
          <w:rFonts w:hint="eastAsia" w:ascii="仿宋_GB2312" w:hAnsi="仿宋_GB2312" w:eastAsia="仿宋_GB2312" w:cs="仿宋_GB2312"/>
          <w:sz w:val="32"/>
          <w:szCs w:val="32"/>
          <w:highlight w:val="none"/>
          <w:lang w:eastAsia="zh-CN"/>
        </w:rPr>
        <w:t>横荷街道的实际情况、合理布局和方便回收原则</w:t>
      </w:r>
      <w:r>
        <w:rPr>
          <w:rFonts w:hint="eastAsia" w:ascii="仿宋_GB2312" w:hAnsi="仿宋_GB2312" w:eastAsia="仿宋_GB2312" w:cs="仿宋_GB2312"/>
          <w:sz w:val="32"/>
          <w:szCs w:val="32"/>
          <w:highlight w:val="none"/>
        </w:rPr>
        <w:t>，</w:t>
      </w:r>
      <w:bookmarkStart w:id="153" w:name="_GoBack"/>
      <w:r>
        <w:rPr>
          <w:rFonts w:hint="eastAsia" w:ascii="仿宋_GB2312" w:hAnsi="仿宋_GB2312" w:eastAsia="仿宋_GB2312" w:cs="仿宋_GB2312"/>
          <w:color w:val="auto"/>
          <w:sz w:val="32"/>
          <w:szCs w:val="32"/>
          <w:highlight w:val="none"/>
          <w:lang w:eastAsia="zh-CN"/>
        </w:rPr>
        <w:t>计划在</w:t>
      </w:r>
      <w:r>
        <w:rPr>
          <w:rFonts w:hint="eastAsia" w:ascii="仿宋_GB2312" w:hAnsi="仿宋_GB2312" w:eastAsia="仿宋_GB2312" w:cs="仿宋_GB2312"/>
          <w:color w:val="auto"/>
          <w:sz w:val="32"/>
          <w:szCs w:val="32"/>
          <w:highlight w:val="none"/>
          <w:lang w:val="en-US" w:eastAsia="zh-CN"/>
        </w:rPr>
        <w:t>岗头村委会</w:t>
      </w:r>
      <w:r>
        <w:rPr>
          <w:rFonts w:hint="eastAsia" w:ascii="仿宋_GB2312" w:hAnsi="仿宋_GB2312" w:eastAsia="仿宋_GB2312" w:cs="仿宋_GB2312"/>
          <w:color w:val="auto"/>
          <w:sz w:val="32"/>
          <w:szCs w:val="32"/>
          <w:highlight w:val="none"/>
          <w:lang w:eastAsia="zh-CN"/>
        </w:rPr>
        <w:t>设置</w:t>
      </w:r>
      <w:r>
        <w:rPr>
          <w:rFonts w:hint="eastAsia" w:ascii="仿宋_GB2312" w:hAnsi="仿宋_GB2312" w:eastAsia="仿宋_GB2312" w:cs="仿宋_GB2312"/>
          <w:color w:val="auto"/>
          <w:sz w:val="32"/>
          <w:szCs w:val="32"/>
          <w:highlight w:val="none"/>
          <w:lang w:val="en-US" w:eastAsia="zh-CN"/>
        </w:rPr>
        <w:t>1个分拣中心。</w:t>
      </w:r>
    </w:p>
    <w:bookmarkEnd w:id="153"/>
    <w:p>
      <w:pPr>
        <w:pageBreakBefore w:val="0"/>
        <w:numPr>
          <w:ilvl w:val="0"/>
          <w:numId w:val="0"/>
        </w:numPr>
        <w:kinsoku/>
        <w:overflowPunct/>
        <w:topLinePunct w:val="0"/>
        <w:autoSpaceDE/>
        <w:autoSpaceDN/>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color w:val="auto"/>
          <w:sz w:val="32"/>
          <w:szCs w:val="32"/>
          <w:highlight w:val="none"/>
          <w:lang w:eastAsia="zh-CN"/>
        </w:rPr>
        <w:t>（二）分拣中心的建设指引</w:t>
      </w:r>
    </w:p>
    <w:tbl>
      <w:tblPr>
        <w:tblStyle w:val="9"/>
        <w:tblW w:w="83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3"/>
        <w:gridCol w:w="650"/>
        <w:gridCol w:w="65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48" w:hRule="atLeast"/>
        </w:trPr>
        <w:tc>
          <w:tcPr>
            <w:tcW w:w="8340" w:type="dxa"/>
            <w:gridSpan w:val="3"/>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32"/>
                <w:szCs w:val="32"/>
                <w:highlight w:val="none"/>
                <w:u w:val="none"/>
              </w:rPr>
            </w:pPr>
            <w:r>
              <w:rPr>
                <w:rFonts w:hint="eastAsia" w:ascii="仿宋_GB2312" w:hAnsi="仿宋_GB2312" w:eastAsia="仿宋_GB2312" w:cs="仿宋_GB2312"/>
                <w:b/>
                <w:bCs/>
                <w:i w:val="0"/>
                <w:iCs w:val="0"/>
                <w:color w:val="auto"/>
                <w:kern w:val="0"/>
                <w:sz w:val="32"/>
                <w:szCs w:val="32"/>
                <w:highlight w:val="none"/>
                <w:u w:val="none"/>
                <w:lang w:val="en-US" w:eastAsia="zh-CN" w:bidi="ar"/>
              </w:rPr>
              <w:t>表5 分拣中心建设指引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74" w:hRule="atLeast"/>
        </w:trPr>
        <w:tc>
          <w:tcPr>
            <w:tcW w:w="1143" w:type="dxa"/>
            <w:vMerge w:val="restart"/>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分拣中心</w:t>
            </w:r>
          </w:p>
        </w:tc>
        <w:tc>
          <w:tcPr>
            <w:tcW w:w="650" w:type="dxa"/>
            <w:vMerge w:val="restart"/>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center"/>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场地要求</w:t>
            </w:r>
          </w:p>
        </w:tc>
        <w:tc>
          <w:tcPr>
            <w:tcW w:w="6547" w:type="dxa"/>
            <w:vMerge w:val="restart"/>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①场地应建有标准厂房，各专业生产线地面应作防水、防渗透处理，有特殊要求的地面应作防腐蚀处理，一般地面应为混凝土地面；</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②平面布局应按照功能分区、分块布置。建设用地应遵守科学合理、节约用地的原则，作业场所、公办管理区距离应符合安全防护要求，中间应用绿化带隔离；</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③建设规范需要符合国家和地方标准，以符合环保、排污、市容环境卫生、消防等各类相关要求为原则；</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lang w:eastAsia="zh-CN"/>
              </w:rPr>
            </w:pPr>
            <w:r>
              <w:rPr>
                <w:rFonts w:hint="eastAsia" w:ascii="仿宋_GB2312" w:hAnsi="仿宋_GB2312" w:eastAsia="仿宋_GB2312" w:cs="仿宋_GB2312"/>
                <w:b w:val="0"/>
                <w:bCs w:val="0"/>
                <w:i w:val="0"/>
                <w:iCs w:val="0"/>
                <w:color w:val="auto"/>
                <w:kern w:val="0"/>
                <w:sz w:val="28"/>
                <w:szCs w:val="28"/>
                <w:highlight w:val="none"/>
                <w:u w:val="none"/>
                <w:lang w:val="en-US" w:eastAsia="zh-CN" w:bidi="ar"/>
              </w:rPr>
              <w:t>④设置公示牌，公示内容应包括运营单位、管理单位及其联系方式、服务区域、责任人证照、操作流程、公安部门明令禁止回收品类表等。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143"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650"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both"/>
              <w:rPr>
                <w:rFonts w:hint="eastAsia" w:ascii="仿宋_GB2312" w:hAnsi="仿宋_GB2312" w:eastAsia="仿宋_GB2312" w:cs="仿宋_GB2312"/>
                <w:i w:val="0"/>
                <w:iCs w:val="0"/>
                <w:color w:val="auto"/>
                <w:sz w:val="28"/>
                <w:szCs w:val="28"/>
                <w:highlight w:val="none"/>
                <w:u w:val="none"/>
              </w:rPr>
            </w:pPr>
          </w:p>
        </w:tc>
        <w:tc>
          <w:tcPr>
            <w:tcW w:w="6547"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01" w:hRule="atLeast"/>
        </w:trPr>
        <w:tc>
          <w:tcPr>
            <w:tcW w:w="1143"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650"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both"/>
              <w:rPr>
                <w:rFonts w:hint="eastAsia" w:ascii="仿宋_GB2312" w:hAnsi="仿宋_GB2312" w:eastAsia="仿宋_GB2312" w:cs="仿宋_GB2312"/>
                <w:i w:val="0"/>
                <w:iCs w:val="0"/>
                <w:color w:val="auto"/>
                <w:sz w:val="28"/>
                <w:szCs w:val="28"/>
                <w:highlight w:val="none"/>
                <w:u w:val="none"/>
              </w:rPr>
            </w:pPr>
          </w:p>
        </w:tc>
        <w:tc>
          <w:tcPr>
            <w:tcW w:w="6547"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883" w:hRule="atLeast"/>
        </w:trPr>
        <w:tc>
          <w:tcPr>
            <w:tcW w:w="1143"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650"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both"/>
              <w:rPr>
                <w:rFonts w:hint="eastAsia" w:ascii="仿宋_GB2312" w:hAnsi="仿宋_GB2312" w:eastAsia="仿宋_GB2312" w:cs="仿宋_GB2312"/>
                <w:i w:val="0"/>
                <w:iCs w:val="0"/>
                <w:color w:val="auto"/>
                <w:sz w:val="28"/>
                <w:szCs w:val="28"/>
                <w:highlight w:val="none"/>
                <w:u w:val="none"/>
              </w:rPr>
            </w:pPr>
          </w:p>
        </w:tc>
        <w:tc>
          <w:tcPr>
            <w:tcW w:w="6547"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74" w:hRule="atLeast"/>
        </w:trPr>
        <w:tc>
          <w:tcPr>
            <w:tcW w:w="1143"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both"/>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设施要求</w:t>
            </w:r>
          </w:p>
        </w:tc>
        <w:tc>
          <w:tcPr>
            <w:tcW w:w="65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①应具备与再生资源处理类别、处理能力相适应的设备，并配备相关检测设备、配备电子监控系统；</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②配套工程应与各功能相适应，应能满足全天候安全作业，达到消防、市容环境卫生、环保、运输管理的相关要求；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31" w:hRule="atLeast"/>
        </w:trPr>
        <w:tc>
          <w:tcPr>
            <w:tcW w:w="1143"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both"/>
              <w:rPr>
                <w:rFonts w:hint="eastAsia" w:ascii="仿宋_GB2312" w:hAnsi="仿宋_GB2312" w:eastAsia="仿宋_GB2312" w:cs="仿宋_GB2312"/>
                <w:i w:val="0"/>
                <w:iCs w:val="0"/>
                <w:color w:val="auto"/>
                <w:sz w:val="28"/>
                <w:szCs w:val="28"/>
                <w:highlight w:val="none"/>
                <w:u w:val="none"/>
              </w:rPr>
            </w:pPr>
          </w:p>
        </w:tc>
        <w:tc>
          <w:tcPr>
            <w:tcW w:w="65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left"/>
              <w:rPr>
                <w:rFonts w:hint="eastAsia" w:ascii="仿宋_GB2312" w:hAnsi="仿宋_GB2312" w:eastAsia="仿宋_GB2312" w:cs="仿宋_GB2312"/>
                <w:i w:val="0"/>
                <w:iCs w:val="0"/>
                <w:color w:val="auto"/>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064" w:hRule="atLeast"/>
        </w:trPr>
        <w:tc>
          <w:tcPr>
            <w:tcW w:w="1143" w:type="dxa"/>
            <w:vMerge w:val="continue"/>
            <w:tcBorders>
              <w:top w:val="single" w:color="1F2329"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60" w:lineRule="exact"/>
              <w:jc w:val="center"/>
              <w:rPr>
                <w:rFonts w:hint="eastAsia" w:ascii="仿宋_GB2312" w:hAnsi="仿宋_GB2312" w:eastAsia="仿宋_GB2312" w:cs="仿宋_GB2312"/>
                <w:i w:val="0"/>
                <w:iCs w:val="0"/>
                <w:color w:val="auto"/>
                <w:sz w:val="28"/>
                <w:szCs w:val="28"/>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both"/>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经营要求</w:t>
            </w:r>
          </w:p>
        </w:tc>
        <w:tc>
          <w:tcPr>
            <w:tcW w:w="6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①项目须符合《清远市“三线一单”生态环境分区管控方案》《清城区招商项目准入管理暂行办法》要求；</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lang w:val="en-US" w:eastAsia="zh-CN"/>
              </w:rPr>
            </w:pPr>
            <w:r>
              <w:rPr>
                <w:rFonts w:hint="eastAsia" w:ascii="仿宋_GB2312" w:hAnsi="仿宋_GB2312" w:eastAsia="仿宋_GB2312" w:cs="仿宋_GB2312"/>
                <w:color w:val="auto"/>
                <w:sz w:val="28"/>
                <w:szCs w:val="28"/>
                <w:highlight w:val="none"/>
                <w:u w:val="none"/>
              </w:rPr>
              <w:t>②</w:t>
            </w:r>
            <w:r>
              <w:rPr>
                <w:rFonts w:hint="eastAsia" w:ascii="仿宋_GB2312" w:hAnsi="仿宋_GB2312" w:eastAsia="仿宋_GB2312" w:cs="仿宋_GB2312"/>
                <w:color w:val="auto"/>
                <w:sz w:val="28"/>
                <w:szCs w:val="28"/>
                <w:highlight w:val="none"/>
                <w:u w:val="none"/>
                <w:lang w:val="en-US" w:eastAsia="zh-CN"/>
              </w:rPr>
              <w:t>从事再生资源回收经营活动，必须符合市场监督管理登记条件，工商注册登记后，方可从事经营活动；</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jc w:val="both"/>
              <w:textAlignment w:val="auto"/>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rPr>
              <w:t>③</w:t>
            </w:r>
            <w:r>
              <w:rPr>
                <w:rFonts w:hint="eastAsia" w:ascii="仿宋_GB2312" w:hAnsi="仿宋_GB2312" w:eastAsia="仿宋_GB2312" w:cs="仿宋_GB2312"/>
                <w:color w:val="auto"/>
                <w:sz w:val="28"/>
                <w:szCs w:val="28"/>
                <w:highlight w:val="none"/>
                <w:u w:val="none"/>
                <w:lang w:eastAsia="zh-CN"/>
              </w:rPr>
              <w:t>需取得属地街道办事处或上级政府部门的行政许可审批同意；</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④分拣中心应只能分拣相对应再生资源分类，不得超出分拣范围，不得有拆解、加工行为，防止二次污染发生；</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⑤作业活动符合安全卫生相关规定，从业人员应接受岗位知识、技能培训等，培训合格后方可上岗；</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⑥应建立安全责任制，分拣中心主要负责人为第一责任人，发生重大责任事故，要追究其责任；</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kern w:val="0"/>
                <w:sz w:val="28"/>
                <w:szCs w:val="28"/>
                <w:highlight w:val="none"/>
                <w:u w:val="none"/>
                <w:lang w:val="en-US" w:eastAsia="zh-CN" w:bidi="ar"/>
              </w:rPr>
            </w:pPr>
            <w:r>
              <w:rPr>
                <w:rFonts w:hint="eastAsia" w:ascii="仿宋_GB2312" w:hAnsi="仿宋_GB2312" w:eastAsia="仿宋_GB2312" w:cs="仿宋_GB2312"/>
                <w:i w:val="0"/>
                <w:iCs w:val="0"/>
                <w:color w:val="auto"/>
                <w:kern w:val="0"/>
                <w:sz w:val="28"/>
                <w:szCs w:val="28"/>
                <w:highlight w:val="none"/>
                <w:u w:val="none"/>
                <w:lang w:val="en-US" w:eastAsia="zh-CN" w:bidi="ar"/>
              </w:rPr>
              <w:t>⑦对于分拣处理的不可回收物，应当按照《中华人民共和国固体废物污染环境防治法》等规定进行分类处理，并交由符合环境保护要求的企业利用或处理；</w:t>
            </w:r>
          </w:p>
          <w:p>
            <w:pPr>
              <w:keepNext w:val="0"/>
              <w:keepLines w:val="0"/>
              <w:pageBreakBefore w:val="0"/>
              <w:widowControl/>
              <w:suppressLineNumbers w:val="0"/>
              <w:kinsoku/>
              <w:wordWrap/>
              <w:overflowPunct/>
              <w:topLinePunct w:val="0"/>
              <w:autoSpaceDE/>
              <w:autoSpaceDN/>
              <w:bidi w:val="0"/>
              <w:spacing w:line="560" w:lineRule="exact"/>
              <w:jc w:val="left"/>
              <w:textAlignment w:val="center"/>
              <w:rPr>
                <w:rFonts w:hint="eastAsia" w:ascii="仿宋_GB2312" w:hAnsi="仿宋_GB2312" w:eastAsia="仿宋_GB2312" w:cs="仿宋_GB2312"/>
                <w:i w:val="0"/>
                <w:iCs w:val="0"/>
                <w:color w:val="auto"/>
                <w:sz w:val="28"/>
                <w:szCs w:val="28"/>
                <w:highlight w:val="none"/>
                <w:u w:val="none"/>
              </w:rPr>
            </w:pPr>
            <w:r>
              <w:rPr>
                <w:rFonts w:hint="eastAsia" w:ascii="仿宋_GB2312" w:hAnsi="仿宋_GB2312" w:eastAsia="仿宋_GB2312" w:cs="仿宋_GB2312"/>
                <w:i w:val="0"/>
                <w:iCs w:val="0"/>
                <w:color w:val="auto"/>
                <w:kern w:val="0"/>
                <w:sz w:val="28"/>
                <w:szCs w:val="28"/>
                <w:highlight w:val="none"/>
                <w:u w:val="none"/>
                <w:lang w:val="en-US" w:eastAsia="zh-CN" w:bidi="ar"/>
              </w:rPr>
              <w:t>⑧建立回收处理台账和数据库，以信息化的手段监控固废的产生、流向和无害化过程。</w:t>
            </w:r>
          </w:p>
        </w:tc>
      </w:tr>
    </w:tbl>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31" w:name="_Toc21870"/>
      <w:r>
        <w:rPr>
          <w:rFonts w:hint="eastAsia" w:ascii="黑体" w:hAnsi="黑体" w:eastAsia="黑体" w:cs="黑体"/>
          <w:b w:val="0"/>
          <w:bCs w:val="0"/>
          <w:color w:val="auto"/>
          <w:sz w:val="32"/>
          <w:szCs w:val="32"/>
          <w:highlight w:val="none"/>
          <w:lang w:val="en-US" w:eastAsia="zh-CN"/>
        </w:rPr>
        <w:t>六、建立再生资源管理智慧云平台</w:t>
      </w:r>
      <w:bookmarkEnd w:id="131"/>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通过</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物联网+互联网+大数据</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的技术手段，建设</w:t>
      </w:r>
      <w:r>
        <w:rPr>
          <w:rFonts w:hint="eastAsia" w:ascii="仿宋_GB2312" w:hAnsi="仿宋_GB2312" w:eastAsia="仿宋_GB2312" w:cs="仿宋_GB2312"/>
          <w:color w:val="auto"/>
          <w:sz w:val="32"/>
          <w:szCs w:val="32"/>
          <w:highlight w:val="none"/>
          <w:lang w:eastAsia="zh-CN"/>
        </w:rPr>
        <w:t>“横荷街道</w:t>
      </w:r>
      <w:r>
        <w:rPr>
          <w:rFonts w:hint="eastAsia" w:ascii="仿宋_GB2312" w:hAnsi="仿宋_GB2312" w:eastAsia="仿宋_GB2312" w:cs="仿宋_GB2312"/>
          <w:color w:val="auto"/>
          <w:sz w:val="32"/>
          <w:szCs w:val="32"/>
          <w:highlight w:val="none"/>
        </w:rPr>
        <w:t>再生资源管理智慧云平台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全过程综合信息和监管系统。搭建面向可回收投售者的APP、小程序、公众号、400电话等软件服务系统，满足居民投售需求和政府监管要求。</w:t>
      </w:r>
      <w:bookmarkStart w:id="132" w:name="_Toc10720"/>
      <w:bookmarkStart w:id="133" w:name="_Toc20153"/>
      <w:bookmarkStart w:id="134" w:name="_Toc24935"/>
      <w:bookmarkStart w:id="135" w:name="_Toc13211"/>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rPr>
      </w:pPr>
    </w:p>
    <w:p>
      <w:pPr>
        <w:pageBreakBefore w:val="0"/>
        <w:kinsoku/>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before="625" w:beforeLines="200" w:after="625" w:afterLines="200" w:line="560" w:lineRule="exact"/>
        <w:ind w:right="0" w:rightChars="0"/>
        <w:jc w:val="center"/>
        <w:textAlignment w:val="auto"/>
        <w:outlineLvl w:val="0"/>
        <w:rPr>
          <w:rFonts w:hint="eastAsia" w:ascii="仿宋_GB2312" w:hAnsi="仿宋_GB2312" w:eastAsia="仿宋_GB2312" w:cs="仿宋_GB2312"/>
          <w:color w:val="auto"/>
          <w:kern w:val="0"/>
          <w:sz w:val="32"/>
          <w:szCs w:val="32"/>
          <w:highlight w:val="none"/>
          <w:lang w:bidi="ar"/>
        </w:rPr>
      </w:pPr>
      <w:r>
        <w:rPr>
          <w:rFonts w:hint="eastAsia" w:ascii="黑体" w:hAnsi="黑体" w:eastAsia="黑体" w:cs="黑体"/>
          <w:color w:val="auto"/>
          <w:sz w:val="32"/>
          <w:szCs w:val="32"/>
          <w:highlight w:val="none"/>
        </w:rPr>
        <w:t>第</w:t>
      </w:r>
      <w:r>
        <w:rPr>
          <w:rFonts w:hint="eastAsia" w:ascii="黑体" w:hAnsi="黑体" w:eastAsia="黑体" w:cs="黑体"/>
          <w:color w:val="auto"/>
          <w:sz w:val="32"/>
          <w:szCs w:val="32"/>
          <w:highlight w:val="none"/>
          <w:lang w:eastAsia="zh-CN"/>
        </w:rPr>
        <w:t>五</w:t>
      </w:r>
      <w:r>
        <w:rPr>
          <w:rFonts w:hint="eastAsia" w:ascii="黑体" w:hAnsi="黑体" w:eastAsia="黑体" w:cs="黑体"/>
          <w:color w:val="auto"/>
          <w:sz w:val="32"/>
          <w:szCs w:val="32"/>
          <w:highlight w:val="none"/>
        </w:rPr>
        <w:t xml:space="preserve">章 </w:t>
      </w:r>
      <w:bookmarkEnd w:id="132"/>
      <w:bookmarkEnd w:id="133"/>
      <w:bookmarkEnd w:id="134"/>
      <w:bookmarkStart w:id="136" w:name="_Toc11692"/>
      <w:bookmarkStart w:id="137" w:name="_Toc28823"/>
      <w:bookmarkStart w:id="138" w:name="_Toc26151"/>
      <w:bookmarkStart w:id="139" w:name="_Toc3057"/>
      <w:bookmarkStart w:id="140" w:name="_Toc2958"/>
      <w:r>
        <w:rPr>
          <w:rFonts w:hint="eastAsia" w:ascii="黑体" w:hAnsi="黑体" w:eastAsia="黑体" w:cs="黑体"/>
          <w:color w:val="auto"/>
          <w:sz w:val="32"/>
          <w:szCs w:val="32"/>
          <w:highlight w:val="none"/>
          <w:lang w:eastAsia="zh-CN"/>
        </w:rPr>
        <w:t>实施保障</w:t>
      </w:r>
      <w:bookmarkEnd w:id="135"/>
      <w:bookmarkEnd w:id="136"/>
      <w:bookmarkEnd w:id="137"/>
      <w:bookmarkEnd w:id="138"/>
      <w:bookmarkEnd w:id="139"/>
      <w:bookmarkEnd w:id="140"/>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41" w:name="_Toc13644"/>
      <w:bookmarkStart w:id="142" w:name="_Toc10835"/>
      <w:bookmarkStart w:id="143" w:name="_Toc10702"/>
      <w:bookmarkStart w:id="144" w:name="_Toc18819"/>
      <w:bookmarkStart w:id="145" w:name="_Toc30789"/>
      <w:r>
        <w:rPr>
          <w:rFonts w:hint="eastAsia" w:ascii="黑体" w:hAnsi="黑体" w:eastAsia="黑体" w:cs="黑体"/>
          <w:b w:val="0"/>
          <w:bCs w:val="0"/>
          <w:color w:val="auto"/>
          <w:sz w:val="32"/>
          <w:szCs w:val="32"/>
          <w:highlight w:val="none"/>
          <w:lang w:val="en-US" w:eastAsia="zh-CN"/>
        </w:rPr>
        <w:t>一、</w:t>
      </w:r>
      <w:r>
        <w:rPr>
          <w:rFonts w:hint="eastAsia" w:ascii="黑体" w:hAnsi="黑体" w:eastAsia="黑体" w:cs="黑体"/>
          <w:b w:val="0"/>
          <w:bCs w:val="0"/>
          <w:color w:val="auto"/>
          <w:sz w:val="32"/>
          <w:szCs w:val="32"/>
          <w:highlight w:val="none"/>
        </w:rPr>
        <w:t>加强</w:t>
      </w:r>
      <w:r>
        <w:rPr>
          <w:rFonts w:hint="eastAsia" w:ascii="黑体" w:hAnsi="黑体" w:eastAsia="黑体" w:cs="黑体"/>
          <w:b w:val="0"/>
          <w:bCs w:val="0"/>
          <w:color w:val="auto"/>
          <w:sz w:val="32"/>
          <w:szCs w:val="32"/>
          <w:highlight w:val="none"/>
          <w:lang w:val="en-US" w:eastAsia="zh-CN"/>
        </w:rPr>
        <w:t>组织保障</w:t>
      </w:r>
      <w:bookmarkEnd w:id="141"/>
      <w:bookmarkEnd w:id="142"/>
      <w:bookmarkEnd w:id="143"/>
      <w:bookmarkEnd w:id="144"/>
      <w:bookmarkEnd w:id="145"/>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在横荷街道党工委、办事处的大力支持下，各行业部门应积极开展再生资源回收网点体系建设工作，推动再生资源回收行业规范发展，指导行业自律发展，组织实施资源节约和综合利用新技术，加强再生资源回收行业的治安管理、环境监管、安全生产以及消防安全监管，提升横荷街道再生资源回收产业化经营水平。</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default"/>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各社区组织开展生活垃圾分类投放、再生资源回收收集等工作，住宅小区业主委员会监督和协助物业服务人员履行再生资源回收管理责任人职责，做好物业管理区域的再生资源回收管理工作。各社区协助街道做好再生资源回收管理工作，推动将生活垃圾分类投放、再生资源回收收集等内容纳入居民公约或者村规民约。</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46" w:name="_Toc14309"/>
      <w:bookmarkStart w:id="147" w:name="_Toc30005"/>
      <w:r>
        <w:rPr>
          <w:rFonts w:hint="eastAsia" w:ascii="黑体" w:hAnsi="黑体" w:eastAsia="黑体" w:cs="黑体"/>
          <w:b w:val="0"/>
          <w:bCs w:val="0"/>
          <w:color w:val="auto"/>
          <w:sz w:val="32"/>
          <w:szCs w:val="32"/>
          <w:highlight w:val="none"/>
          <w:lang w:val="en-US" w:eastAsia="zh-CN"/>
        </w:rPr>
        <w:t>二、创新商业模式</w:t>
      </w:r>
      <w:bookmarkEnd w:id="146"/>
      <w:bookmarkEnd w:id="147"/>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鼓励再生资源回收利用主体创新商业模式。一方面，通过嵌入式对接服务、逆向回收、“互联网+回收”等模式拓宽回收渠道；另一方面，支持企业利用互联网、大数据和云计算等现代信息技术和手段，建立大数据信息收集，打造“互联网＋物联网＋线上交易＋金融服务”平台，实现以电子商务为主导，覆盖信息发布、竞价交易、线上结算、仓储物流等功能的综合服务，促进再生资源交易高效、阳光、专业，优化再生资源回收利用产业链，为优质再生资源重新赋能。</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48" w:name="_Toc3743"/>
      <w:bookmarkStart w:id="149" w:name="_Toc13689"/>
      <w:r>
        <w:rPr>
          <w:rFonts w:hint="eastAsia" w:ascii="黑体" w:hAnsi="黑体" w:eastAsia="黑体" w:cs="黑体"/>
          <w:b w:val="0"/>
          <w:bCs w:val="0"/>
          <w:color w:val="auto"/>
          <w:sz w:val="32"/>
          <w:szCs w:val="32"/>
          <w:highlight w:val="none"/>
          <w:lang w:val="en-US" w:eastAsia="zh-CN"/>
        </w:rPr>
        <w:t>三、打造标杆示范</w:t>
      </w:r>
      <w:bookmarkEnd w:id="148"/>
      <w:bookmarkEnd w:id="149"/>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bookmarkStart w:id="150" w:name="_Toc32687"/>
      <w:r>
        <w:rPr>
          <w:rFonts w:hint="eastAsia" w:ascii="仿宋_GB2312" w:hAnsi="仿宋_GB2312" w:eastAsia="仿宋_GB2312" w:cs="仿宋_GB2312"/>
          <w:b w:val="0"/>
          <w:bCs w:val="0"/>
          <w:color w:val="auto"/>
          <w:sz w:val="32"/>
          <w:szCs w:val="32"/>
          <w:highlight w:val="none"/>
          <w:lang w:val="en-US" w:eastAsia="zh-CN"/>
        </w:rPr>
        <w:t>开展重点品种再生资源回收利用示范。</w:t>
      </w:r>
      <w:r>
        <w:rPr>
          <w:rFonts w:hint="eastAsia" w:ascii="仿宋_GB2312" w:hAnsi="仿宋_GB2312" w:eastAsia="仿宋_GB2312" w:cs="仿宋_GB2312"/>
          <w:b/>
          <w:bCs/>
          <w:color w:val="auto"/>
          <w:sz w:val="32"/>
          <w:szCs w:val="32"/>
          <w:highlight w:val="none"/>
          <w:lang w:val="en-US" w:eastAsia="zh-CN"/>
        </w:rPr>
        <w:t>一是</w:t>
      </w:r>
      <w:r>
        <w:rPr>
          <w:rFonts w:hint="eastAsia" w:ascii="仿宋_GB2312" w:hAnsi="仿宋_GB2312" w:eastAsia="仿宋_GB2312" w:cs="仿宋_GB2312"/>
          <w:b w:val="0"/>
          <w:bCs w:val="0"/>
          <w:color w:val="auto"/>
          <w:sz w:val="32"/>
          <w:szCs w:val="32"/>
          <w:highlight w:val="none"/>
          <w:lang w:val="en-US" w:eastAsia="zh-CN"/>
        </w:rPr>
        <w:t>提升快递包装废弃物再利用水平，鼓励快递企业和各类环卫企业、回收企业联合开展“快递业＋回收业”定向合作试点，鼓励企业对包装箱、总包袋进行循环利用，提高循环利用率。</w:t>
      </w:r>
      <w:r>
        <w:rPr>
          <w:rFonts w:hint="eastAsia" w:ascii="仿宋_GB2312" w:hAnsi="仿宋_GB2312" w:eastAsia="仿宋_GB2312" w:cs="仿宋_GB2312"/>
          <w:b/>
          <w:bCs/>
          <w:color w:val="auto"/>
          <w:sz w:val="32"/>
          <w:szCs w:val="32"/>
          <w:highlight w:val="none"/>
          <w:lang w:val="en-US" w:eastAsia="zh-CN"/>
        </w:rPr>
        <w:t>二是</w:t>
      </w:r>
      <w:r>
        <w:rPr>
          <w:rFonts w:hint="eastAsia" w:ascii="仿宋_GB2312" w:hAnsi="仿宋_GB2312" w:eastAsia="仿宋_GB2312" w:cs="仿宋_GB2312"/>
          <w:b w:val="0"/>
          <w:bCs w:val="0"/>
          <w:color w:val="auto"/>
          <w:sz w:val="32"/>
          <w:szCs w:val="32"/>
          <w:highlight w:val="none"/>
          <w:lang w:val="en-US" w:eastAsia="zh-CN"/>
        </w:rPr>
        <w:t>政府机关、学校、大型商业综合体、商业楼宇依托再生资源智能化全品类回收箱，实施再生资源分类回收工作，设立再生资源回收参与者绿色账户，建立健全绿色低碳环保的楼宇管理体系，做好公共示范。</w:t>
      </w:r>
      <w:r>
        <w:rPr>
          <w:rFonts w:hint="eastAsia" w:ascii="仿宋_GB2312" w:hAnsi="仿宋_GB2312" w:eastAsia="仿宋_GB2312" w:cs="仿宋_GB2312"/>
          <w:b/>
          <w:bCs/>
          <w:color w:val="auto"/>
          <w:sz w:val="32"/>
          <w:szCs w:val="32"/>
          <w:highlight w:val="none"/>
          <w:lang w:val="en-US" w:eastAsia="zh-CN"/>
        </w:rPr>
        <w:t>三是</w:t>
      </w:r>
      <w:r>
        <w:rPr>
          <w:rFonts w:hint="eastAsia" w:ascii="仿宋_GB2312" w:hAnsi="仿宋_GB2312" w:eastAsia="仿宋_GB2312" w:cs="仿宋_GB2312"/>
          <w:b w:val="0"/>
          <w:bCs w:val="0"/>
          <w:color w:val="auto"/>
          <w:sz w:val="32"/>
          <w:szCs w:val="32"/>
          <w:highlight w:val="none"/>
          <w:lang w:val="en-US" w:eastAsia="zh-CN"/>
        </w:rPr>
        <w:t>推进废旧纺织品资源化利用。以生活垃圾分类为契机，建立包括固定回收箱、再生资源智能化全品类回收箱、“互联网＋回收”等多种方式的回收渠道，推动废旧衣物的回收和高值化利用。</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51" w:name="_Toc20053"/>
      <w:r>
        <w:rPr>
          <w:rFonts w:hint="eastAsia" w:ascii="黑体" w:hAnsi="黑体" w:eastAsia="黑体" w:cs="黑体"/>
          <w:b w:val="0"/>
          <w:bCs w:val="0"/>
          <w:color w:val="auto"/>
          <w:sz w:val="32"/>
          <w:szCs w:val="32"/>
          <w:highlight w:val="none"/>
          <w:lang w:val="en-US" w:eastAsia="zh-CN"/>
        </w:rPr>
        <w:t>四、整顿行业乱象</w:t>
      </w:r>
      <w:bookmarkEnd w:id="151"/>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color w:val="auto"/>
          <w:lang w:val="en-US" w:eastAsia="zh-CN"/>
        </w:rPr>
      </w:pPr>
      <w:r>
        <w:rPr>
          <w:rFonts w:hint="eastAsia" w:ascii="仿宋_GB2312" w:hAnsi="仿宋_GB2312" w:eastAsia="仿宋_GB2312" w:cs="仿宋_GB2312"/>
          <w:color w:val="auto"/>
          <w:sz w:val="32"/>
          <w:szCs w:val="32"/>
          <w:highlight w:val="none"/>
          <w:lang w:val="en-US" w:eastAsia="zh-CN"/>
        </w:rPr>
        <w:t>根据清远市清城区人民政府印发的《关于开展“散乱污”工业企业（场所）综合整治的通告》，全面打击辖区内无证无照、无相关手续的“散乱污”工业企业（场所）。针对现状废品店脏乱差，货物</w:t>
      </w:r>
      <w:r>
        <w:rPr>
          <w:rFonts w:hint="eastAsia" w:ascii="仿宋_GB2312" w:hAnsi="仿宋_GB2312" w:eastAsia="仿宋_GB2312" w:cs="仿宋_GB2312"/>
          <w:b w:val="0"/>
          <w:bCs w:val="0"/>
          <w:color w:val="auto"/>
          <w:sz w:val="32"/>
          <w:szCs w:val="32"/>
          <w:highlight w:val="none"/>
          <w:lang w:val="en-US" w:eastAsia="zh-CN"/>
        </w:rPr>
        <w:t>乱堆放</w:t>
      </w:r>
      <w:r>
        <w:rPr>
          <w:rFonts w:hint="eastAsia" w:ascii="仿宋_GB2312" w:hAnsi="仿宋_GB2312" w:eastAsia="仿宋_GB2312" w:cs="仿宋_GB2312"/>
          <w:color w:val="auto"/>
          <w:sz w:val="32"/>
          <w:szCs w:val="32"/>
          <w:highlight w:val="none"/>
        </w:rPr>
        <w:t>造成市容市貌及安全隐患、</w:t>
      </w:r>
      <w:r>
        <w:rPr>
          <w:rFonts w:hint="eastAsia" w:ascii="仿宋_GB2312" w:hAnsi="仿宋_GB2312" w:eastAsia="仿宋_GB2312" w:cs="仿宋_GB2312"/>
          <w:color w:val="auto"/>
          <w:sz w:val="32"/>
          <w:szCs w:val="32"/>
          <w:highlight w:val="none"/>
          <w:lang w:val="en-US" w:eastAsia="zh-CN"/>
        </w:rPr>
        <w:t>运营管理</w:t>
      </w:r>
      <w:r>
        <w:rPr>
          <w:rFonts w:hint="eastAsia" w:ascii="仿宋_GB2312" w:hAnsi="仿宋_GB2312" w:eastAsia="仿宋_GB2312" w:cs="仿宋_GB2312"/>
          <w:color w:val="auto"/>
          <w:sz w:val="32"/>
          <w:szCs w:val="32"/>
          <w:highlight w:val="none"/>
        </w:rPr>
        <w:t>不规范等问题，提出“改、整、合”整治策略。</w:t>
      </w:r>
      <w:r>
        <w:rPr>
          <w:rFonts w:hint="eastAsia" w:ascii="仿宋_GB2312" w:hAnsi="仿宋_GB2312" w:eastAsia="仿宋_GB2312" w:cs="仿宋_GB2312"/>
          <w:color w:val="auto"/>
          <w:sz w:val="32"/>
          <w:szCs w:val="32"/>
          <w:highlight w:val="none"/>
          <w:lang w:eastAsia="zh-CN"/>
        </w:rPr>
        <w:t>“改”是通过以下三个方面进行改造，建筑外立面改造：对外墙裸露的废品站进行粉刷装饰、门店标识应清晰。经营场地改造：应当硬底化，加盖顶棚，外设隔离设施。室内改造：室内宜整洁光亮，宜配备门店经营范围告示牌、灭火器、监控等设置。“整”是整治不符合建筑规范要求的废品站，消除违章占道、占绿的现象，保持整洁卫生的场地环境，对具有储藏功能的废品站进行货品分区，禁止乱搭乱放，易燃易爆货品应单独存放。“合”是鼓励龙头企业按照市场规律，通过连锁经营、特许经营（加盟）等方式，整合中小企业和个体经营户。</w:t>
      </w:r>
    </w:p>
    <w:p>
      <w:pPr>
        <w:keepNext w:val="0"/>
        <w:keepLines w:val="0"/>
        <w:pageBreakBefore w:val="0"/>
        <w:widowControl w:val="0"/>
        <w:kinsoku/>
        <w:wordWrap/>
        <w:overflowPunct/>
        <w:topLinePunct w:val="0"/>
        <w:autoSpaceDE/>
        <w:autoSpaceDN/>
        <w:bidi w:val="0"/>
        <w:adjustRightInd w:val="0"/>
        <w:snapToGrid w:val="0"/>
        <w:spacing w:before="469" w:beforeLines="150" w:line="560" w:lineRule="exact"/>
        <w:ind w:right="0" w:rightChars="0" w:firstLine="640" w:firstLineChars="200"/>
        <w:jc w:val="both"/>
        <w:textAlignment w:val="auto"/>
        <w:outlineLvl w:val="1"/>
        <w:rPr>
          <w:rFonts w:hint="eastAsia" w:ascii="黑体" w:hAnsi="黑体" w:eastAsia="黑体" w:cs="黑体"/>
          <w:b w:val="0"/>
          <w:bCs w:val="0"/>
          <w:color w:val="auto"/>
          <w:sz w:val="32"/>
          <w:szCs w:val="32"/>
          <w:highlight w:val="none"/>
          <w:lang w:val="en-US" w:eastAsia="zh-CN"/>
        </w:rPr>
      </w:pPr>
      <w:bookmarkStart w:id="152" w:name="_Toc30071"/>
      <w:r>
        <w:rPr>
          <w:rFonts w:hint="eastAsia" w:ascii="黑体" w:hAnsi="黑体" w:eastAsia="黑体" w:cs="黑体"/>
          <w:b w:val="0"/>
          <w:bCs w:val="0"/>
          <w:color w:val="auto"/>
          <w:sz w:val="32"/>
          <w:szCs w:val="32"/>
          <w:highlight w:val="none"/>
          <w:lang w:val="en-US" w:eastAsia="zh-CN"/>
        </w:rPr>
        <w:t>五、鼓励公众参与</w:t>
      </w:r>
      <w:bookmarkEnd w:id="150"/>
      <w:bookmarkEnd w:id="152"/>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建立由街道牵头，宣传、团</w:t>
      </w:r>
      <w:r>
        <w:rPr>
          <w:rFonts w:hint="eastAsia" w:ascii="仿宋_GB2312" w:hAnsi="仿宋_GB2312" w:eastAsia="仿宋_GB2312" w:cs="仿宋_GB2312"/>
          <w:color w:val="auto"/>
          <w:sz w:val="32"/>
          <w:szCs w:val="32"/>
          <w:highlight w:val="none"/>
          <w:lang w:eastAsia="zh-CN"/>
        </w:rPr>
        <w:t>工</w:t>
      </w:r>
      <w:r>
        <w:rPr>
          <w:rFonts w:hint="eastAsia" w:ascii="仿宋_GB2312" w:hAnsi="仿宋_GB2312" w:eastAsia="仿宋_GB2312" w:cs="仿宋_GB2312"/>
          <w:color w:val="auto"/>
          <w:sz w:val="32"/>
          <w:szCs w:val="32"/>
          <w:highlight w:val="none"/>
        </w:rPr>
        <w:t>委、妇联、教育、社区、物业管理公司等部门或机构参与的再生资源公众参与机制。制定再生资源回收宣传工作方案，指导督促宣传责任主体落实宣传工作任务，开展形式多样、内容丰富、直观便民的系列宣传活动，开展资源回收普法教育和针对性培训，编写宣传小册子，加强青少年宣传教育，打造当地的循环经济科普教育示范基地，向公众开放。充分利用各宣传媒体的舆论导向作用，提高广大群众及再生资源行业从业者对节约资源、保护环境和推动社会经济协调发展的认识，努力营造全社会重视、关心支持和积极参与再生资源回收利用的良好氛围，促进再生资源回收利用体系顺利建设。</w:t>
      </w:r>
    </w:p>
    <w:p>
      <w:pPr>
        <w:pStyle w:val="2"/>
        <w:pageBreakBefore w:val="0"/>
        <w:widowControl w:val="0"/>
        <w:kinsoku/>
        <w:wordWrap/>
        <w:overflowPunct/>
        <w:topLinePunct w:val="0"/>
        <w:autoSpaceDE/>
        <w:autoSpaceDN/>
        <w:bidi w:val="0"/>
        <w:spacing w:line="560" w:lineRule="exact"/>
        <w:textAlignment w:val="auto"/>
        <w:outlineLvl w:val="9"/>
        <w:rPr>
          <w:rFonts w:hint="eastAsia"/>
          <w:highlight w:val="none"/>
          <w:lang w:val="en-US" w:eastAsia="zh-CN"/>
        </w:rPr>
      </w:pPr>
    </w:p>
    <w:sectPr>
      <w:footerReference r:id="rId6" w:type="default"/>
      <w:pgSz w:w="11906" w:h="16838"/>
      <w:pgMar w:top="2211" w:right="1474" w:bottom="1871"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36CC29A-F5A8-4C76-808C-63AA2E12EDE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0" w:usb1="00000000" w:usb2="00000000" w:usb3="00000000" w:csb0="00000000" w:csb1="00000000"/>
    <w:embedRegular r:id="rId2" w:fontKey="{ED0408F5-6B38-4C76-9CEE-FF929938E419}"/>
  </w:font>
  <w:font w:name="方正小标宋_GBK">
    <w:panose1 w:val="02000000000000000000"/>
    <w:charset w:val="86"/>
    <w:family w:val="auto"/>
    <w:pitch w:val="default"/>
    <w:sig w:usb0="00000000" w:usb1="00000000" w:usb2="00000000" w:usb3="00000000" w:csb0="00000000" w:csb1="00000000"/>
    <w:embedRegular r:id="rId3" w:fontKey="{77724474-F5DB-4ABA-A16A-E3F4DE30C71C}"/>
  </w:font>
  <w:font w:name="楷体_GB2312">
    <w:panose1 w:val="02010609030101010101"/>
    <w:charset w:val="86"/>
    <w:family w:val="auto"/>
    <w:pitch w:val="default"/>
    <w:sig w:usb0="00000000" w:usb1="00000000" w:usb2="00000000" w:usb3="00000000" w:csb0="00000000" w:csb1="00000000"/>
    <w:embedRegular r:id="rId4" w:fontKey="{0AC9D435-6AD6-4E06-A3F7-5364D8000472}"/>
  </w:font>
  <w:font w:name="仿宋">
    <w:panose1 w:val="02010609060101010101"/>
    <w:charset w:val="86"/>
    <w:family w:val="modern"/>
    <w:pitch w:val="default"/>
    <w:sig w:usb0="800002BF" w:usb1="38CF7CFA" w:usb2="00000016" w:usb3="00000000" w:csb0="00040001" w:csb1="00000000"/>
    <w:embedRegular r:id="rId5" w:fontKey="{7E202200-6B46-4E58-AEB8-5AC60634F32F}"/>
  </w:font>
  <w:font w:name="方正仿宋_GB2312">
    <w:panose1 w:val="02000000000000000000"/>
    <w:charset w:val="86"/>
    <w:family w:val="auto"/>
    <w:pitch w:val="default"/>
    <w:sig w:usb0="00000000" w:usb1="00000000" w:usb2="00000000" w:usb3="00000000" w:csb0="00000000" w:csb1="00000000"/>
    <w:embedRegular r:id="rId6" w:fontKey="{1DD51763-46DA-469C-A68C-78FA7F7137E5}"/>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hint="eastAsia"/>
                              <w:lang w:eastAsia="zh-CN"/>
                            </w:rPr>
                          </w:pP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pvKOZwwEAAHADAAAOAAAAAAAAAAEAIAAAAB4BAABkcnMvZTJvRG9jLnhtbFBL&#10;BQYAAAAABgAGAFkBAABTBQAAAAA=&#10;">
              <v:fill on="f" focussize="0,0"/>
              <v:stroke on="f"/>
              <v:imagedata o:title=""/>
              <o:lock v:ext="edit" aspectratio="f"/>
              <v:textbox inset="0mm,0mm,0mm,0mm" style="mso-fit-shape-to-text:t;">
                <w:txbxContent>
                  <w:p>
                    <w:pPr>
                      <w:rPr>
                        <w:rFonts w:hint="eastAsia"/>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hint="eastAsia"/>
                              <w:lang w:eastAsia="zh-CN"/>
                            </w:rPr>
                          </w:pP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lw2rrCAQAAcAMAAA4AAAAAAAAAAQAgAAAAHgEAAGRycy9lMm9Eb2MueG1sUEsF&#10;BgAAAAAGAAYAWQEAAFIFAAAAAA==&#10;">
              <v:fill on="f" focussize="0,0"/>
              <v:stroke on="f"/>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pPr>
    <w:r>
      <w:rPr>
        <w:sz w:val="32"/>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p>
                </w:txbxContent>
              </v:textbox>
            </v:shape>
          </w:pict>
        </mc:Fallback>
      </mc:AlternateContent>
    </w:r>
    <w:r>
      <w:rPr>
        <w:sz w:val="32"/>
        <w:szCs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hint="eastAsia"/>
                              <w:lang w:eastAsia="zh-CN"/>
                            </w:rPr>
                          </w:pP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xc8MPCAQAAcAMAAA4AAAAAAAAAAQAgAAAAHgEAAGRycy9lMm9Eb2MueG1sUEsF&#10;BgAAAAAGAAYAWQEAAFIFAAAAAA==&#10;">
              <v:fill on="f" focussize="0,0"/>
              <v:stroke on="f"/>
              <v:imagedata o:title=""/>
              <o:lock v:ext="edit" aspectratio="f"/>
              <v:textbox inset="0mm,0mm,0mm,0mm" style="mso-fit-shape-to-text:t;">
                <w:txbxContent>
                  <w:p>
                    <w:pPr>
                      <w:rPr>
                        <w:rFonts w:hint="eastAsia"/>
                        <w:lang w:eastAsia="zh-CN"/>
                      </w:rPr>
                    </w:pPr>
                  </w:p>
                </w:txbxContent>
              </v:textbox>
            </v:shape>
          </w:pict>
        </mc:Fallback>
      </mc:AlternateContent>
    </w:r>
    <w:r>
      <w:rPr>
        <w:rFonts w:hint="eastAsia"/>
        <w:sz w:val="32"/>
        <w:szCs w:val="32"/>
        <w:lang w:eastAsia="zh-CN"/>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5YjZlOGI0N2VmOWJhNjljZTdlZTNlNTc3ODU0MDIifQ=="/>
  </w:docVars>
  <w:rsids>
    <w:rsidRoot w:val="4536111E"/>
    <w:rsid w:val="00760AA1"/>
    <w:rsid w:val="00A10993"/>
    <w:rsid w:val="01633E9B"/>
    <w:rsid w:val="01B85F94"/>
    <w:rsid w:val="01B96FB2"/>
    <w:rsid w:val="01D95F0B"/>
    <w:rsid w:val="02D72CB5"/>
    <w:rsid w:val="031063FA"/>
    <w:rsid w:val="036A7762"/>
    <w:rsid w:val="03CE1D3A"/>
    <w:rsid w:val="0412655E"/>
    <w:rsid w:val="04D572A5"/>
    <w:rsid w:val="062E2CC9"/>
    <w:rsid w:val="076D7821"/>
    <w:rsid w:val="07B72894"/>
    <w:rsid w:val="086D08A2"/>
    <w:rsid w:val="08BA3694"/>
    <w:rsid w:val="08E05C8C"/>
    <w:rsid w:val="096023A3"/>
    <w:rsid w:val="099C619C"/>
    <w:rsid w:val="09C83E39"/>
    <w:rsid w:val="09E638BB"/>
    <w:rsid w:val="0A051F93"/>
    <w:rsid w:val="0A8A06EA"/>
    <w:rsid w:val="0B0E30C9"/>
    <w:rsid w:val="0B4C599F"/>
    <w:rsid w:val="0BBF43C3"/>
    <w:rsid w:val="0BDF3142"/>
    <w:rsid w:val="0C7B4653"/>
    <w:rsid w:val="0C7D22B4"/>
    <w:rsid w:val="0D4354D5"/>
    <w:rsid w:val="0F3F7CF5"/>
    <w:rsid w:val="110D0C4B"/>
    <w:rsid w:val="117D4B05"/>
    <w:rsid w:val="1218482D"/>
    <w:rsid w:val="1231092C"/>
    <w:rsid w:val="123F12D6"/>
    <w:rsid w:val="14C01F6E"/>
    <w:rsid w:val="14C23886"/>
    <w:rsid w:val="14C467E9"/>
    <w:rsid w:val="14D83F81"/>
    <w:rsid w:val="15502372"/>
    <w:rsid w:val="17655536"/>
    <w:rsid w:val="178D1A71"/>
    <w:rsid w:val="17935531"/>
    <w:rsid w:val="18982B29"/>
    <w:rsid w:val="18EA696C"/>
    <w:rsid w:val="19202945"/>
    <w:rsid w:val="19456979"/>
    <w:rsid w:val="19AD7F51"/>
    <w:rsid w:val="19CB3F0E"/>
    <w:rsid w:val="1CE0390D"/>
    <w:rsid w:val="1D552877"/>
    <w:rsid w:val="1D862845"/>
    <w:rsid w:val="1E1A7C17"/>
    <w:rsid w:val="1E6D3C36"/>
    <w:rsid w:val="1F9260F1"/>
    <w:rsid w:val="230F7587"/>
    <w:rsid w:val="23AF761E"/>
    <w:rsid w:val="23ED5B1A"/>
    <w:rsid w:val="243668FA"/>
    <w:rsid w:val="25EE2D75"/>
    <w:rsid w:val="269063AC"/>
    <w:rsid w:val="274C3109"/>
    <w:rsid w:val="280542B6"/>
    <w:rsid w:val="28B85F41"/>
    <w:rsid w:val="28E10BA5"/>
    <w:rsid w:val="29EC23D0"/>
    <w:rsid w:val="2A7C3749"/>
    <w:rsid w:val="2AB30725"/>
    <w:rsid w:val="2AE8768C"/>
    <w:rsid w:val="2B9D7E25"/>
    <w:rsid w:val="2BB1705E"/>
    <w:rsid w:val="2BEF61A7"/>
    <w:rsid w:val="2CDC497D"/>
    <w:rsid w:val="2F8D0F36"/>
    <w:rsid w:val="2FB63264"/>
    <w:rsid w:val="301A5EE8"/>
    <w:rsid w:val="3195004A"/>
    <w:rsid w:val="326C67A3"/>
    <w:rsid w:val="32B12408"/>
    <w:rsid w:val="33395B80"/>
    <w:rsid w:val="33AF6948"/>
    <w:rsid w:val="34A02734"/>
    <w:rsid w:val="34AC6A12"/>
    <w:rsid w:val="352549E8"/>
    <w:rsid w:val="357E2A76"/>
    <w:rsid w:val="359C5887"/>
    <w:rsid w:val="363B0376"/>
    <w:rsid w:val="36413BC1"/>
    <w:rsid w:val="36DF0200"/>
    <w:rsid w:val="382C4BD6"/>
    <w:rsid w:val="387E532F"/>
    <w:rsid w:val="38983E4E"/>
    <w:rsid w:val="38BE762D"/>
    <w:rsid w:val="38FD1F03"/>
    <w:rsid w:val="3A2A5158"/>
    <w:rsid w:val="3A4B33B2"/>
    <w:rsid w:val="3A531996"/>
    <w:rsid w:val="3AA0348E"/>
    <w:rsid w:val="3B506C62"/>
    <w:rsid w:val="3CB57EEA"/>
    <w:rsid w:val="3CB9750E"/>
    <w:rsid w:val="3D7023D8"/>
    <w:rsid w:val="3EDE0704"/>
    <w:rsid w:val="404F1C94"/>
    <w:rsid w:val="42B21FB1"/>
    <w:rsid w:val="43087E22"/>
    <w:rsid w:val="43301127"/>
    <w:rsid w:val="434254DE"/>
    <w:rsid w:val="44351E45"/>
    <w:rsid w:val="4536111E"/>
    <w:rsid w:val="460D7F5B"/>
    <w:rsid w:val="463C360A"/>
    <w:rsid w:val="465F41FD"/>
    <w:rsid w:val="46762EEE"/>
    <w:rsid w:val="46853D11"/>
    <w:rsid w:val="474D22A8"/>
    <w:rsid w:val="477517FF"/>
    <w:rsid w:val="47B02837"/>
    <w:rsid w:val="48234763"/>
    <w:rsid w:val="488E77CF"/>
    <w:rsid w:val="495456F0"/>
    <w:rsid w:val="49A8253E"/>
    <w:rsid w:val="49B73F06"/>
    <w:rsid w:val="49BB78AE"/>
    <w:rsid w:val="4A8E1462"/>
    <w:rsid w:val="4A8F1BCB"/>
    <w:rsid w:val="4ACB25E6"/>
    <w:rsid w:val="4B93449C"/>
    <w:rsid w:val="4C2C4B82"/>
    <w:rsid w:val="4C3E213C"/>
    <w:rsid w:val="4C7107E7"/>
    <w:rsid w:val="4C716A38"/>
    <w:rsid w:val="4CF03247"/>
    <w:rsid w:val="4CF66490"/>
    <w:rsid w:val="4D0F610C"/>
    <w:rsid w:val="4E7E543D"/>
    <w:rsid w:val="4EAD6128"/>
    <w:rsid w:val="4FFA308A"/>
    <w:rsid w:val="52E977E7"/>
    <w:rsid w:val="5646169B"/>
    <w:rsid w:val="5646769C"/>
    <w:rsid w:val="56772E9D"/>
    <w:rsid w:val="56BD26C4"/>
    <w:rsid w:val="57650F48"/>
    <w:rsid w:val="57FD5624"/>
    <w:rsid w:val="596007DC"/>
    <w:rsid w:val="59B63CDD"/>
    <w:rsid w:val="5B9057BA"/>
    <w:rsid w:val="5BB22BCA"/>
    <w:rsid w:val="5D080D02"/>
    <w:rsid w:val="5E766130"/>
    <w:rsid w:val="5EBD764C"/>
    <w:rsid w:val="5ED70F47"/>
    <w:rsid w:val="5F5A15AE"/>
    <w:rsid w:val="5FE200E3"/>
    <w:rsid w:val="60AF21BA"/>
    <w:rsid w:val="61CF391E"/>
    <w:rsid w:val="626F590C"/>
    <w:rsid w:val="62C9192D"/>
    <w:rsid w:val="62FF66F4"/>
    <w:rsid w:val="634C6CA8"/>
    <w:rsid w:val="63FC040C"/>
    <w:rsid w:val="6639016F"/>
    <w:rsid w:val="665931A6"/>
    <w:rsid w:val="67AA3CB6"/>
    <w:rsid w:val="68EA74FF"/>
    <w:rsid w:val="69E623BC"/>
    <w:rsid w:val="6AF6662F"/>
    <w:rsid w:val="6BC45C57"/>
    <w:rsid w:val="6BF16BE8"/>
    <w:rsid w:val="6CB16A77"/>
    <w:rsid w:val="6D5C2995"/>
    <w:rsid w:val="6D641E4C"/>
    <w:rsid w:val="6D6520D7"/>
    <w:rsid w:val="6D963478"/>
    <w:rsid w:val="6D9C3E5C"/>
    <w:rsid w:val="6E0C6169"/>
    <w:rsid w:val="70AE5F6D"/>
    <w:rsid w:val="719E5896"/>
    <w:rsid w:val="725D51E5"/>
    <w:rsid w:val="726D26BB"/>
    <w:rsid w:val="733817AF"/>
    <w:rsid w:val="73437FD2"/>
    <w:rsid w:val="735D4EB7"/>
    <w:rsid w:val="73B64BF6"/>
    <w:rsid w:val="74884070"/>
    <w:rsid w:val="74E90FB2"/>
    <w:rsid w:val="75706AFE"/>
    <w:rsid w:val="761B5537"/>
    <w:rsid w:val="761E6187"/>
    <w:rsid w:val="767E0115"/>
    <w:rsid w:val="76FA57F8"/>
    <w:rsid w:val="77902D02"/>
    <w:rsid w:val="77957F48"/>
    <w:rsid w:val="782A5B6A"/>
    <w:rsid w:val="79071477"/>
    <w:rsid w:val="797D616D"/>
    <w:rsid w:val="7A010B4C"/>
    <w:rsid w:val="7A6510DB"/>
    <w:rsid w:val="7A9E639B"/>
    <w:rsid w:val="7C0B4F8A"/>
    <w:rsid w:val="7C646494"/>
    <w:rsid w:val="7CB83B02"/>
    <w:rsid w:val="7DB9539D"/>
    <w:rsid w:val="7DD32800"/>
    <w:rsid w:val="7F650C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character" w:default="1" w:styleId="8">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3">
    <w:name w:val="toc 3"/>
    <w:basedOn w:val="1"/>
    <w:next w:val="1"/>
    <w:qFormat/>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11">
    <w:name w:val="List Paragraph"/>
    <w:basedOn w:val="1"/>
    <w:unhideWhenUsed/>
    <w:qFormat/>
    <w:uiPriority w:val="99"/>
    <w:pPr>
      <w:ind w:firstLine="420" w:firstLineChars="200"/>
    </w:p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7510</Words>
  <Characters>8033</Characters>
  <Lines>0</Lines>
  <Paragraphs>0</Paragraphs>
  <ScaleCrop>false</ScaleCrop>
  <LinksUpToDate>false</LinksUpToDate>
  <CharactersWithSpaces>8196</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2024-07-24T05:31:00Z</dcterms:created>
  <dc:creator>LZ杰</dc:creator>
  <cp:lastModifiedBy>Administrator</cp:lastModifiedBy>
  <cp:lastPrinted>2026-01-04T08:01:00Z</cp:lastPrinted>
  <dcterms:modified xsi:type="dcterms:W3CDTF">2026-01-28T00:57:01Z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ICV">
    <vt:lpwstr>9EFAC2DE664641FAA53C5253C898EC3E_13</vt:lpwstr>
  </property>
  <property fmtid="{D5CDD505-2E9C-101B-9397-08002B2CF9AE}" pid="4" name="KSOTemplateDocerSaveRecord">
    <vt:lpwstr>eyJoZGlkIjoiYjgyZDNjM2EzYWE5YWQ3OGJkOWEzZjY1MWI2NzgwM2UiLCJ1c2VySWQiOiIxNDk4NDA1MjgwIn0=</vt:lpwstr>
  </property>
</Properties>
</file>