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</w:pPr>
      <w:bookmarkStart w:id="1" w:name="_GoBack"/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  <w:t>附件1：</w:t>
      </w:r>
      <w:bookmarkStart w:id="0" w:name="OLE_LINK1"/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  <w:t>清远市</w:t>
      </w:r>
      <w:bookmarkEnd w:id="0"/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  <w:t>清城区禁止开垦陡坡地面积统计表</w:t>
      </w:r>
    </w:p>
    <w:bookmarkEnd w:id="1"/>
    <w:tbl>
      <w:tblPr>
        <w:tblStyle w:val="3"/>
        <w:tblW w:w="8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744"/>
        <w:gridCol w:w="2063"/>
        <w:gridCol w:w="1486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镇街行政区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禁止开垦陡坡地面积（km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国土面积（km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15.46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101.82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飞来峡镇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94.89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371.55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凤城街道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23.27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90.37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龙塘镇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13.38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223.67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178.23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源潭镇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33.67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227.37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洲心街道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16.51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189.86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1296.38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pacing w:val="15"/>
          <w:kern w:val="0"/>
          <w:sz w:val="28"/>
          <w:szCs w:val="28"/>
          <w:highlight w:val="none"/>
          <w:lang w:val="en-US" w:eastAsia="zh-CN" w:bidi="ar"/>
        </w:rPr>
      </w:pPr>
    </w:p>
    <w:p/>
    <w:sectPr>
      <w:pgSz w:w="11906" w:h="16838"/>
      <w:pgMar w:top="2211" w:right="1474" w:bottom="187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16561"/>
    <w:rsid w:val="5CF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4"/>
      <w:ind w:left="124"/>
    </w:pPr>
    <w:rPr>
      <w:rFonts w:ascii="宋体" w:hAnsi="宋体" w:eastAsia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2025-10-29T08:52:00Z</dcterms:created>
  <dc:creator>温丽</dc:creator>
  <cp:lastModifiedBy>温丽</cp:lastModifiedBy>
  <dcterms:modified xsi:type="dcterms:W3CDTF">2025-10-29T08:54:51Z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