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《限期拆除决定书》送达名单</w:t>
      </w:r>
      <w:bookmarkEnd w:id="0"/>
    </w:p>
    <w:tbl>
      <w:tblPr>
        <w:tblStyle w:val="3"/>
        <w:tblpPr w:leftFromText="180" w:rightFromText="180" w:vertAnchor="text" w:horzAnchor="page" w:tblpX="1438"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02"/>
        <w:gridCol w:w="4412"/>
        <w:gridCol w:w="432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1" w:type="dxa"/>
            <w:noWrap w:val="0"/>
            <w:vAlign w:val="center"/>
          </w:tcPr>
          <w:p>
            <w:pPr>
              <w:snapToGrid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02" w:type="dxa"/>
            <w:noWrap w:val="0"/>
            <w:vAlign w:val="center"/>
          </w:tcPr>
          <w:p>
            <w:pPr>
              <w:snapToGrid w:val="0"/>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当事</w:t>
            </w:r>
            <w:r>
              <w:rPr>
                <w:rFonts w:hint="eastAsia" w:ascii="仿宋_GB2312" w:hAnsi="仿宋_GB2312" w:eastAsia="仿宋_GB2312" w:cs="仿宋_GB2312"/>
                <w:sz w:val="24"/>
                <w:szCs w:val="24"/>
                <w:lang w:eastAsia="zh-CN"/>
              </w:rPr>
              <w:t>人</w:t>
            </w:r>
          </w:p>
        </w:tc>
        <w:tc>
          <w:tcPr>
            <w:tcW w:w="4412" w:type="dxa"/>
            <w:noWrap w:val="0"/>
            <w:vAlign w:val="center"/>
          </w:tcPr>
          <w:p>
            <w:pPr>
              <w:snapToGrid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违法事实</w:t>
            </w:r>
          </w:p>
        </w:tc>
        <w:tc>
          <w:tcPr>
            <w:tcW w:w="4328" w:type="dxa"/>
            <w:noWrap w:val="0"/>
            <w:vAlign w:val="center"/>
          </w:tcPr>
          <w:p>
            <w:pPr>
              <w:snapToGrid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处理</w:t>
            </w:r>
            <w:r>
              <w:rPr>
                <w:rFonts w:hint="eastAsia" w:ascii="仿宋_GB2312" w:hAnsi="仿宋_GB2312" w:eastAsia="仿宋_GB2312" w:cs="仿宋_GB2312"/>
                <w:sz w:val="24"/>
                <w:szCs w:val="24"/>
              </w:rPr>
              <w:t>依据及</w:t>
            </w:r>
            <w:r>
              <w:rPr>
                <w:rFonts w:hint="eastAsia" w:ascii="仿宋_GB2312" w:hAnsi="仿宋_GB2312" w:eastAsia="仿宋_GB2312" w:cs="仿宋_GB2312"/>
                <w:sz w:val="24"/>
                <w:szCs w:val="24"/>
                <w:lang w:eastAsia="zh-CN"/>
              </w:rPr>
              <w:t>处理</w:t>
            </w:r>
            <w:r>
              <w:rPr>
                <w:rFonts w:hint="eastAsia" w:ascii="仿宋_GB2312" w:hAnsi="仿宋_GB2312" w:eastAsia="仿宋_GB2312" w:cs="仿宋_GB2312"/>
                <w:sz w:val="24"/>
                <w:szCs w:val="24"/>
              </w:rPr>
              <w:t>决定</w:t>
            </w:r>
          </w:p>
        </w:tc>
        <w:tc>
          <w:tcPr>
            <w:tcW w:w="2897" w:type="dxa"/>
            <w:noWrap w:val="0"/>
            <w:vAlign w:val="center"/>
          </w:tcPr>
          <w:p>
            <w:pPr>
              <w:snapToGrid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公告送达文书</w:t>
            </w:r>
            <w:r>
              <w:rPr>
                <w:rFonts w:hint="eastAsia" w:ascii="仿宋_GB2312" w:hAnsi="仿宋_GB2312" w:eastAsia="仿宋_GB2312" w:cs="仿宋_GB2312"/>
                <w:sz w:val="24"/>
                <w:szCs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trPr>
        <w:tc>
          <w:tcPr>
            <w:tcW w:w="781" w:type="dxa"/>
            <w:noWrap w:val="0"/>
            <w:vAlign w:val="center"/>
          </w:tcPr>
          <w:p>
            <w:pPr>
              <w:snapToGrid w:val="0"/>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502" w:type="dxa"/>
            <w:noWrap w:val="0"/>
            <w:vAlign w:val="center"/>
          </w:tcPr>
          <w:p>
            <w:pPr>
              <w:snapToGrid w:val="0"/>
              <w:spacing w:line="560" w:lineRule="exact"/>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向国松</w:t>
            </w:r>
          </w:p>
        </w:tc>
        <w:tc>
          <w:tcPr>
            <w:tcW w:w="44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lang w:val="en-US" w:eastAsia="zh-CN"/>
              </w:rPr>
              <w:t>当事人于2024年6月未经城乡规划主管部门批准，擅自在清远市清城区横荷街九四零地质队旁边搭建1个钢结构铁棚，铁棚长约30.4米，宽约16.6米，建筑面积约504.64㎡，占地面积约504.64㎡。</w:t>
            </w:r>
          </w:p>
        </w:tc>
        <w:tc>
          <w:tcPr>
            <w:tcW w:w="432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《中华人民共和国城乡规划法》第四十条第一款的规定。根据《中华人民共和国城乡规划法》第六十四条的规定,对当事人作出十五日内自行拆除上述违法建设的决定。</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当事人如不服本决定，可以自收到本决定书之日起六十日内向清远市清城区人民政府申请行政复议，也可以自收到本决定书之日起六个月内依法向清远市清新区人民法院提起行政诉讼。逾期不申请行政复议，也不提起行政诉讼，又不履行本决定的，本机关将依法组织实施强制拆除。强制拆除的费用由当事人承担。</w:t>
            </w:r>
          </w:p>
        </w:tc>
        <w:tc>
          <w:tcPr>
            <w:tcW w:w="2897" w:type="dxa"/>
            <w:noWrap w:val="0"/>
            <w:vAlign w:val="center"/>
          </w:tcPr>
          <w:p>
            <w:pPr>
              <w:snapToGrid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lang w:eastAsia="zh-CN"/>
              </w:rPr>
              <w:t>横荷拆决字〔</w:t>
            </w:r>
            <w:r>
              <w:rPr>
                <w:rFonts w:hint="eastAsia" w:ascii="仿宋_GB2312" w:hAnsi="仿宋_GB2312" w:eastAsia="仿宋_GB2312" w:cs="仿宋_GB2312"/>
                <w:sz w:val="24"/>
                <w:lang w:val="en-US" w:eastAsia="zh-CN"/>
              </w:rPr>
              <w:t>2025</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lang w:eastAsia="zh-CN"/>
              </w:rPr>
              <w:t>号</w:t>
            </w:r>
          </w:p>
        </w:tc>
      </w:tr>
    </w:tbl>
    <w:p>
      <w:pPr>
        <w:snapToGrid w:val="0"/>
        <w:spacing w:line="240" w:lineRule="auto"/>
        <w:rPr>
          <w:rFonts w:hint="eastAsia" w:ascii="仿宋_GB2312" w:hAnsi="仿宋_GB2312" w:eastAsia="仿宋_GB2312" w:cs="仿宋_GB2312"/>
          <w:sz w:val="24"/>
          <w:szCs w:val="24"/>
        </w:rPr>
      </w:pPr>
    </w:p>
    <w:p/>
    <w:sectPr>
      <w:pgSz w:w="16838" w:h="11906" w:orient="landscape"/>
      <w:pgMar w:top="1587" w:right="2381" w:bottom="1474" w:left="1871"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A6B0C"/>
    <w:rsid w:val="238A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2025-07-11T03:11:00Z</dcterms:created>
  <dc:creator>lenovo</dc:creator>
  <cp:lastModifiedBy>lenovo</cp:lastModifiedBy>
  <dcterms:modified xsi:type="dcterms:W3CDTF">2025-07-11T03:13:23Z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