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附件：</w:t>
      </w:r>
    </w:p>
    <w:p>
      <w:pPr>
        <w:pStyle w:val="2"/>
        <w:rPr>
          <w:rFonts w:hint="eastAsia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清远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/>
        </w:rPr>
        <w:t>凤城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公园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停车场机动车停放服务收费标准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（征求意见稿）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tbl>
      <w:tblPr>
        <w:tblStyle w:val="4"/>
        <w:tblpPr w:leftFromText="180" w:rightFromText="180" w:vertAnchor="page" w:horzAnchor="page" w:tblpX="1467" w:tblpY="3916"/>
        <w:tblOverlap w:val="never"/>
        <w:tblW w:w="91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979"/>
        <w:gridCol w:w="1665"/>
        <w:gridCol w:w="2158"/>
        <w:gridCol w:w="22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车 型</w:t>
            </w:r>
          </w:p>
        </w:tc>
        <w:tc>
          <w:tcPr>
            <w:tcW w:w="1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时段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  <w:t>计费单位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日间收费标准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夜间收费标准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1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(8：00时至22：00时)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(22：01时至07：59时)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载重2吨以下（含2吨）或载客20座以下（含20）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的各种机动车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首30分钟内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免费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免费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0.5小时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至2小时内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辆/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次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3元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超过2小时的，每1小时（不足1小时按1小时计）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辆/小时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加收1元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加收1元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最高限价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辆/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次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15元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91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备注：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车辆进入不超过30分钟免费,超过30分钟按实际进入时间进行计费;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车辆停放超过24小时的,按上述标准累加计收;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军警车辆、实施求助的医院救护车辆及市政工程抢修车辆免收费。</w:t>
            </w:r>
          </w:p>
        </w:tc>
      </w:tr>
    </w:tbl>
    <w:p>
      <w:pPr>
        <w:ind w:left="0" w:leftChars="0" w:right="0" w:rightChars="0" w:firstLine="0" w:firstLineChars="0"/>
        <w:jc w:val="both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51A8"/>
    <w:multiLevelType w:val="singleLevel"/>
    <w:tmpl w:val="2DED51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B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leftChars="200"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2020-07-13T08:08:23Z</dcterms:created>
  <dc:creator>Administrator</dc:creator>
  <cp:lastModifiedBy>Administrator</cp:lastModifiedBy>
  <dcterms:modified xsi:type="dcterms:W3CDTF">2020-07-13T08:08:28Z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