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hd w:val="clear" w:color="auto" w:fill="auto"/>
        <w:bidi w:val="0"/>
        <w:spacing w:before="0"/>
        <w:ind w:left="0" w:right="0" w:firstLine="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000000"/>
          <w:spacing w:val="0"/>
          <w:w w:val="100"/>
          <w:position w:val="0"/>
          <w:sz w:val="44"/>
          <w:szCs w:val="44"/>
          <w:lang w:val="en-US" w:eastAsia="zh-CN"/>
        </w:rPr>
        <w:t>清远市清城区</w:t>
      </w:r>
      <w:r>
        <w:rPr>
          <w:rFonts w:hint="eastAsia" w:ascii="方正小标宋_GBK" w:hAnsi="方正小标宋_GBK" w:eastAsia="方正小标宋_GBK" w:cs="方正小标宋_GBK"/>
          <w:color w:val="000000"/>
          <w:spacing w:val="0"/>
          <w:w w:val="100"/>
          <w:position w:val="0"/>
          <w:sz w:val="44"/>
          <w:szCs w:val="44"/>
        </w:rPr>
        <w:t>普惠性民办幼儿园认定、扶持</w:t>
      </w:r>
      <w:r>
        <w:rPr>
          <w:rFonts w:hint="eastAsia" w:ascii="方正小标宋_GBK" w:hAnsi="方正小标宋_GBK" w:eastAsia="方正小标宋_GBK" w:cs="方正小标宋_GBK"/>
          <w:color w:val="000000"/>
          <w:spacing w:val="0"/>
          <w:w w:val="100"/>
          <w:position w:val="0"/>
          <w:sz w:val="44"/>
          <w:szCs w:val="44"/>
        </w:rPr>
        <w:br w:type="textWrapping"/>
      </w:r>
      <w:r>
        <w:rPr>
          <w:rFonts w:hint="eastAsia" w:ascii="方正小标宋_GBK" w:hAnsi="方正小标宋_GBK" w:eastAsia="方正小标宋_GBK" w:cs="方正小标宋_GBK"/>
          <w:color w:val="000000"/>
          <w:spacing w:val="0"/>
          <w:w w:val="100"/>
          <w:position w:val="0"/>
          <w:sz w:val="44"/>
          <w:szCs w:val="44"/>
        </w:rPr>
        <w:t>和管理</w:t>
      </w:r>
      <w:r>
        <w:rPr>
          <w:rFonts w:hint="eastAsia" w:ascii="方正小标宋_GBK" w:hAnsi="方正小标宋_GBK" w:eastAsia="方正小标宋_GBK" w:cs="方正小标宋_GBK"/>
          <w:color w:val="000000"/>
          <w:spacing w:val="0"/>
          <w:w w:val="100"/>
          <w:position w:val="0"/>
          <w:sz w:val="44"/>
          <w:szCs w:val="44"/>
          <w:lang w:val="en-US" w:eastAsia="zh-CN"/>
        </w:rPr>
        <w:t>工作细则（征求意见</w:t>
      </w:r>
      <w:bookmarkStart w:id="9" w:name="_GoBack"/>
      <w:bookmarkEnd w:id="9"/>
      <w:r>
        <w:rPr>
          <w:rFonts w:hint="eastAsia" w:ascii="方正小标宋_GBK" w:hAnsi="方正小标宋_GBK" w:eastAsia="方正小标宋_GBK" w:cs="方正小标宋_GBK"/>
          <w:color w:val="000000"/>
          <w:spacing w:val="0"/>
          <w:w w:val="100"/>
          <w:position w:val="0"/>
          <w:sz w:val="44"/>
          <w:szCs w:val="44"/>
          <w:lang w:val="en-US" w:eastAsia="zh-CN"/>
        </w:rPr>
        <w:t>稿）</w:t>
      </w:r>
    </w:p>
    <w:p>
      <w:pPr>
        <w:keepNext w:val="0"/>
        <w:keepLines w:val="0"/>
        <w:pageBreakBefore w:val="0"/>
        <w:tabs>
          <w:tab w:val="left" w:pos="2377"/>
        </w:tabs>
        <w:kinsoku/>
        <w:overflowPunct/>
        <w:topLinePunct w:val="0"/>
        <w:autoSpaceDE/>
        <w:autoSpaceDN/>
        <w:bidi w:val="0"/>
        <w:adjustRightInd/>
        <w:snapToGrid/>
        <w:spacing w:after="0" w:line="560" w:lineRule="exact"/>
        <w:ind w:firstLine="6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为贯彻落实《中华人民共和国民办教育促进法》（中华人民共和国主席令〔2018〕第24号）、《中华人民共和国民办教育促进法实施条例》（中华人民共和国国务院令〔2021〕第741号）、《中共中央 国务院关于学前教育深化改革规范发展的若干意见》《“十四五”学前教育发展提升行动计划》（教基〔2021〕8号）、《幼儿园保育教育质量评估指南》（教基〔2022〕1号），依据《广东省推动基础教育高质量发展行动方案》（粤府〔2021〕55号）和《广东省促进学前教育普惠健康发展行动方案》（粤府办〔2018〕28号）的要求，引导和扶持民办幼儿园面向社会开展公益性、普惠性的学前教育，建立覆盖城乡、布局合理的公益普惠性学前教育公共服务体系，根据</w:t>
      </w:r>
      <w:bookmarkStart w:id="0" w:name="OLE_LINK1"/>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转发广东省教育厅等六部门关于印发&lt;广东省普惠性民办幼儿园认定、扶持和管理办法&gt;的通知</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清市教基</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号</w:t>
      </w:r>
      <w:bookmarkEnd w:id="0"/>
      <w:r>
        <w:rPr>
          <w:rFonts w:hint="eastAsia" w:ascii="仿宋_GB2312" w:hAnsi="仿宋_GB2312" w:eastAsia="仿宋_GB2312"/>
          <w:sz w:val="32"/>
          <w:szCs w:val="32"/>
          <w:lang w:eastAsia="zh-CN"/>
        </w:rPr>
        <w:t>）</w:t>
      </w:r>
      <w:r>
        <w:rPr>
          <w:rFonts w:hint="eastAsia" w:ascii="仿宋_GB2312" w:hAnsi="仿宋_GB2312" w:eastAsia="仿宋_GB2312"/>
          <w:sz w:val="32"/>
          <w:szCs w:val="32"/>
        </w:rPr>
        <w:t>精神，结合我区学前教育发展实际，特制定本实施细则。</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lang w:val="en-US" w:eastAsia="zh-CN"/>
        </w:rPr>
        <w:t>一、</w:t>
      </w:r>
      <w:r>
        <w:rPr>
          <w:rFonts w:hint="eastAsia" w:ascii="黑体" w:hAnsi="黑体" w:eastAsia="黑体" w:cs="黑体"/>
          <w:color w:val="000000"/>
          <w:spacing w:val="0"/>
          <w:w w:val="100"/>
          <w:position w:val="0"/>
          <w:sz w:val="32"/>
          <w:szCs w:val="32"/>
        </w:rPr>
        <w:t>普惠性民办幼儿园的认定</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8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pacing w:val="0"/>
          <w:w w:val="100"/>
          <w:position w:val="0"/>
          <w:sz w:val="32"/>
          <w:szCs w:val="32"/>
        </w:rPr>
        <w:t>（一）认定标准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普惠性民办幼儿园是指通过教育部门认定、面向大众、收费合理、质量合格、接受财政经费补助或政府其他方式扶持的非营利性民办幼儿园。普惠性民办幼儿园的认定应符合下列条件：</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依法规范办学。幼儿园办学证照齐全、有效，办学行为规范。除新办园外上一年度年检合格，在申报日前1年内无行政处罚记录。使用校车的幼儿园，按照《广东省实施〈校车安全管理</w:t>
      </w:r>
      <w:r>
        <w:rPr>
          <w:rFonts w:hint="eastAsia" w:ascii="仿宋_GB2312" w:hAnsi="仿宋_GB2312" w:eastAsia="仿宋_GB2312" w:cs="仿宋_GB2312"/>
          <w:color w:val="000000"/>
          <w:spacing w:val="0"/>
          <w:w w:val="100"/>
          <w:position w:val="0"/>
          <w:sz w:val="32"/>
          <w:szCs w:val="32"/>
          <w:lang w:val="en-US" w:eastAsia="zh-CN"/>
        </w:rPr>
        <w:t>条例&gt;办法》</w:t>
      </w:r>
      <w:r>
        <w:rPr>
          <w:rFonts w:hint="eastAsia" w:ascii="仿宋_GB2312" w:hAnsi="仿宋_GB2312" w:eastAsia="仿宋_GB2312" w:cs="仿宋_GB2312"/>
          <w:color w:val="000000"/>
          <w:spacing w:val="0"/>
          <w:w w:val="100"/>
          <w:position w:val="0"/>
          <w:sz w:val="32"/>
          <w:szCs w:val="32"/>
        </w:rPr>
        <w:t>（广东省人民政府令第208号）等相关管理规定落实校车管理</w:t>
      </w:r>
      <w:r>
        <w:rPr>
          <w:rFonts w:hint="eastAsia" w:ascii="仿宋_GB2312" w:hAnsi="仿宋_GB2312" w:eastAsia="仿宋_GB2312" w:cs="仿宋_GB2312"/>
          <w:color w:val="000000"/>
          <w:spacing w:val="0"/>
          <w:w w:val="100"/>
          <w:position w:val="0"/>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after="0" w:line="560" w:lineRule="exact"/>
        <w:ind w:right="0" w:rightChars="0" w:firstLine="640" w:firstLineChars="200"/>
        <w:jc w:val="both"/>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收费合理合规。保教费符合</w:t>
      </w:r>
      <w:r>
        <w:rPr>
          <w:rFonts w:hint="eastAsia" w:ascii="仿宋_GB2312" w:hAnsi="仿宋_GB2312" w:eastAsia="仿宋_GB2312" w:cs="仿宋_GB2312"/>
          <w:color w:val="000000"/>
          <w:spacing w:val="0"/>
          <w:w w:val="100"/>
          <w:position w:val="0"/>
          <w:sz w:val="32"/>
          <w:szCs w:val="32"/>
          <w:lang w:val="en-US" w:eastAsia="zh-CN"/>
        </w:rPr>
        <w:t>清远市清城区</w:t>
      </w:r>
      <w:r>
        <w:rPr>
          <w:rFonts w:hint="eastAsia" w:ascii="仿宋_GB2312" w:hAnsi="仿宋_GB2312" w:eastAsia="仿宋_GB2312" w:cs="仿宋_GB2312"/>
          <w:color w:val="000000"/>
          <w:spacing w:val="0"/>
          <w:w w:val="100"/>
          <w:position w:val="0"/>
          <w:sz w:val="32"/>
          <w:szCs w:val="32"/>
        </w:rPr>
        <w:t>普惠性民办幼儿园保教费收费标准要求</w:t>
      </w:r>
      <w:r>
        <w:rPr>
          <w:rFonts w:hint="eastAsia" w:ascii="仿宋_GB2312" w:hAnsi="仿宋_GB2312" w:eastAsia="仿宋_GB2312" w:cs="仿宋_GB2312"/>
          <w:color w:val="000000"/>
          <w:spacing w:val="0"/>
          <w:w w:val="100"/>
          <w:position w:val="0"/>
          <w:sz w:val="32"/>
          <w:szCs w:val="32"/>
          <w:lang w:val="en-US" w:eastAsia="zh-CN"/>
        </w:rPr>
        <w:t>，并在</w:t>
      </w:r>
      <w:r>
        <w:rPr>
          <w:rFonts w:hint="eastAsia" w:ascii="仿宋_GB2312" w:hAnsi="仿宋_GB2312" w:eastAsia="仿宋_GB2312"/>
          <w:color w:val="auto"/>
          <w:sz w:val="32"/>
          <w:szCs w:val="32"/>
        </w:rPr>
        <w:t>一定时期内（一个学年以上）保持稳定。收费行为规范，按规定进行收费公示，无乱收费现象。</w:t>
      </w:r>
    </w:p>
    <w:p>
      <w:pPr>
        <w:keepNext w:val="0"/>
        <w:keepLines w:val="0"/>
        <w:pageBreakBefore w:val="0"/>
        <w:widowControl w:val="0"/>
        <w:numPr>
          <w:ilvl w:val="0"/>
          <w:numId w:val="0"/>
        </w:numPr>
        <w:shd w:val="clear" w:color="auto" w:fill="auto"/>
        <w:kinsoku/>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财务管理规范。财务独立核算、制度健全、运转良好，无克扣或变相侵占幼儿伙食费的行为。按要求设立专用账户，对财政补助经费实行独立核算、专款专用，无虚报、冒领、挤占、挪用专项资金行为。依法开展年度财务审计，定期公开收支情况，开支合理，账目清楚</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numPr>
          <w:ilvl w:val="0"/>
          <w:numId w:val="0"/>
        </w:numPr>
        <w:shd w:val="clear" w:color="auto" w:fill="auto"/>
        <w:tabs>
          <w:tab w:val="left" w:pos="104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办学条件达标。幼儿园的园舍和设施须符合国家和省、市规定的卫生标准、安全标准等要求，并</w:t>
      </w:r>
      <w:r>
        <w:rPr>
          <w:rFonts w:hint="eastAsia" w:ascii="仿宋_GB2312" w:hAnsi="仿宋_GB2312" w:eastAsia="仿宋_GB2312" w:cs="仿宋_GB2312"/>
          <w:color w:val="000000"/>
          <w:spacing w:val="0"/>
          <w:w w:val="100"/>
          <w:position w:val="0"/>
          <w:sz w:val="32"/>
          <w:szCs w:val="32"/>
          <w:lang w:val="en-US" w:eastAsia="zh-CN"/>
        </w:rPr>
        <w:t>经市</w:t>
      </w:r>
      <w:r>
        <w:rPr>
          <w:rFonts w:hint="eastAsia" w:ascii="仿宋_GB2312" w:hAnsi="仿宋_GB2312" w:eastAsia="仿宋_GB2312" w:cs="仿宋_GB2312"/>
          <w:color w:val="000000"/>
          <w:spacing w:val="0"/>
          <w:w w:val="100"/>
          <w:position w:val="0"/>
          <w:sz w:val="32"/>
          <w:szCs w:val="32"/>
        </w:rPr>
        <w:t>级以上教育部门</w:t>
      </w:r>
      <w:r>
        <w:rPr>
          <w:rFonts w:hint="eastAsia" w:ascii="仿宋_GB2312" w:hAnsi="仿宋_GB2312" w:eastAsia="仿宋_GB2312" w:cs="仿宋_GB2312"/>
          <w:color w:val="000000"/>
          <w:spacing w:val="0"/>
          <w:w w:val="100"/>
          <w:position w:val="0"/>
          <w:sz w:val="32"/>
          <w:szCs w:val="32"/>
          <w:lang w:val="en-US" w:eastAsia="zh-CN"/>
        </w:rPr>
        <w:t>认定为“广东省规范化幼儿园”</w:t>
      </w:r>
      <w:r>
        <w:rPr>
          <w:rFonts w:hint="eastAsia" w:ascii="仿宋_GB2312" w:hAnsi="仿宋_GB2312" w:eastAsia="仿宋_GB2312" w:cs="仿宋_GB2312"/>
          <w:color w:val="000000"/>
          <w:spacing w:val="0"/>
          <w:w w:val="100"/>
          <w:position w:val="0"/>
          <w:sz w:val="32"/>
          <w:szCs w:val="32"/>
        </w:rPr>
        <w:t>。</w:t>
      </w:r>
    </w:p>
    <w:p>
      <w:pPr>
        <w:pStyle w:val="8"/>
        <w:keepNext w:val="0"/>
        <w:keepLines w:val="0"/>
        <w:pageBreakBefore w:val="0"/>
        <w:widowControl w:val="0"/>
        <w:numPr>
          <w:ilvl w:val="0"/>
          <w:numId w:val="0"/>
        </w:numPr>
        <w:shd w:val="clear" w:color="auto" w:fill="auto"/>
        <w:tabs>
          <w:tab w:val="left" w:pos="1050"/>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 w:name="bookmark6"/>
      <w:bookmarkEnd w:id="1"/>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实施科学保教。按照教育部《幼儿园教育指导纲要（试行）》</w:t>
      </w:r>
      <w:r>
        <w:rPr>
          <w:rFonts w:hint="eastAsia" w:ascii="仿宋_GB2312" w:hAnsi="仿宋_GB2312" w:eastAsia="仿宋_GB2312" w:cs="仿宋_GB2312"/>
          <w:b w:val="0"/>
          <w:bCs w:val="0"/>
          <w:color w:val="000000"/>
          <w:spacing w:val="0"/>
          <w:w w:val="100"/>
          <w:position w:val="0"/>
          <w:sz w:val="32"/>
          <w:szCs w:val="32"/>
        </w:rPr>
        <w:t>《3-6</w:t>
      </w:r>
      <w:r>
        <w:rPr>
          <w:rFonts w:hint="eastAsia" w:ascii="仿宋_GB2312" w:hAnsi="仿宋_GB2312" w:eastAsia="仿宋_GB2312" w:cs="仿宋_GB2312"/>
          <w:color w:val="000000"/>
          <w:spacing w:val="0"/>
          <w:w w:val="100"/>
          <w:position w:val="0"/>
          <w:sz w:val="32"/>
          <w:szCs w:val="32"/>
        </w:rPr>
        <w:t>岁儿童学习与发展指南》《幼儿园保育教育质量评估指南》和省教育厅《广东省幼儿园一日活动指引（试行）》等要求，根据幼儿身心发展特点创设丰富、适宜的教育环境，合理安排幼儿一日生活，以游戏为基本活动，科学开展保育教育活动，无“小学化”倾向。</w:t>
      </w:r>
    </w:p>
    <w:p>
      <w:pPr>
        <w:pStyle w:val="8"/>
        <w:keepNext w:val="0"/>
        <w:keepLines w:val="0"/>
        <w:pageBreakBefore w:val="0"/>
        <w:widowControl w:val="0"/>
        <w:numPr>
          <w:ilvl w:val="0"/>
          <w:numId w:val="0"/>
        </w:numPr>
        <w:shd w:val="clear" w:color="auto" w:fill="auto"/>
        <w:tabs>
          <w:tab w:val="left" w:pos="104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bookmarkStart w:id="2" w:name="bookmark7"/>
      <w:bookmarkEnd w:id="2"/>
      <w:r>
        <w:rPr>
          <w:rFonts w:hint="eastAsia" w:ascii="仿宋_GB2312" w:hAnsi="仿宋_GB2312" w:eastAsia="仿宋_GB2312" w:cs="仿宋_GB2312"/>
          <w:color w:val="000000"/>
          <w:spacing w:val="0"/>
          <w:w w:val="100"/>
          <w:position w:val="0"/>
          <w:sz w:val="32"/>
          <w:szCs w:val="32"/>
          <w:lang w:val="en-US" w:eastAsia="zh-CN"/>
        </w:rPr>
        <w:t>6.</w:t>
      </w:r>
      <w:r>
        <w:rPr>
          <w:rFonts w:hint="eastAsia" w:ascii="仿宋_GB2312" w:hAnsi="仿宋_GB2312" w:eastAsia="仿宋_GB2312" w:cs="仿宋_GB2312"/>
          <w:color w:val="000000"/>
          <w:spacing w:val="0"/>
          <w:w w:val="100"/>
          <w:position w:val="0"/>
          <w:sz w:val="32"/>
          <w:szCs w:val="32"/>
        </w:rPr>
        <w:t>教职工配备和工资福利待遇合理。按照国家和省的要求配备教职工，从业人员符合岗位任职要求</w:t>
      </w:r>
      <w:r>
        <w:rPr>
          <w:rFonts w:hint="eastAsia" w:ascii="仿宋_GB2312" w:hAnsi="仿宋_GB2312" w:eastAsia="仿宋_GB2312" w:cs="仿宋_GB2312"/>
          <w:color w:val="0000FF"/>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依法与教职工签订劳动合同，全园教职工工资总额原则上不低于当年保教费收入的</w:t>
      </w:r>
      <w:r>
        <w:rPr>
          <w:rFonts w:hint="eastAsia" w:ascii="仿宋_GB2312" w:hAnsi="仿宋_GB2312" w:eastAsia="仿宋_GB2312" w:cs="仿宋_GB2312"/>
          <w:color w:val="000000"/>
          <w:spacing w:val="0"/>
          <w:w w:val="100"/>
          <w:position w:val="0"/>
          <w:sz w:val="32"/>
          <w:szCs w:val="32"/>
          <w:lang w:val="zh-CN" w:eastAsia="zh-CN"/>
        </w:rPr>
        <w:t>60%，</w:t>
      </w:r>
      <w:r>
        <w:rPr>
          <w:rFonts w:hint="eastAsia" w:ascii="仿宋_GB2312" w:hAnsi="仿宋_GB2312" w:eastAsia="仿宋_GB2312" w:cs="仿宋_GB2312"/>
          <w:color w:val="000000"/>
          <w:spacing w:val="0"/>
          <w:w w:val="100"/>
          <w:position w:val="0"/>
          <w:sz w:val="32"/>
          <w:szCs w:val="32"/>
        </w:rPr>
        <w:t>教师工资水平达到</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以上教育等部门规定的普惠性民办幼儿园教师工资指导标准。依法保障教职工待遇，按时足额支付工资，缴纳社会保险费和住房公积</w:t>
      </w:r>
      <w:r>
        <w:rPr>
          <w:rFonts w:hint="eastAsia" w:ascii="仿宋_GB2312" w:hAnsi="仿宋_GB2312" w:eastAsia="仿宋_GB2312" w:cs="仿宋_GB2312"/>
          <w:color w:val="000000"/>
          <w:spacing w:val="0"/>
          <w:w w:val="100"/>
          <w:position w:val="0"/>
          <w:sz w:val="32"/>
          <w:szCs w:val="32"/>
          <w:lang w:val="en-US" w:eastAsia="zh-CN"/>
        </w:rPr>
        <w:t>金</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8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（二）认定程序</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普惠性民办幼儿园每年认定一次，认定后有效期为三年。已认定的普惠性民办幼儿园在有效期满后，经</w:t>
      </w:r>
      <w:r>
        <w:rPr>
          <w:rFonts w:hint="eastAsia" w:ascii="仿宋_GB2312" w:hAnsi="仿宋_GB2312" w:eastAsia="仿宋_GB2312" w:cs="仿宋_GB2312"/>
          <w:color w:val="auto"/>
          <w:spacing w:val="0"/>
          <w:w w:val="100"/>
          <w:position w:val="0"/>
          <w:sz w:val="32"/>
          <w:szCs w:val="32"/>
          <w:lang w:val="en-US" w:eastAsia="zh-CN"/>
        </w:rPr>
        <w:t>清城区教育局</w:t>
      </w:r>
      <w:r>
        <w:rPr>
          <w:rFonts w:hint="eastAsia" w:ascii="仿宋_GB2312" w:hAnsi="仿宋_GB2312" w:eastAsia="仿宋_GB2312" w:cs="仿宋_GB2312"/>
          <w:color w:val="auto"/>
          <w:spacing w:val="0"/>
          <w:w w:val="100"/>
          <w:position w:val="0"/>
          <w:sz w:val="32"/>
          <w:szCs w:val="32"/>
        </w:rPr>
        <w:t>复核后可转入下一周期。具体认定程序如下：</w:t>
      </w:r>
    </w:p>
    <w:p>
      <w:pPr>
        <w:pStyle w:val="8"/>
        <w:keepNext w:val="0"/>
        <w:keepLines w:val="0"/>
        <w:pageBreakBefore w:val="0"/>
        <w:widowControl w:val="0"/>
        <w:numPr>
          <w:ilvl w:val="0"/>
          <w:numId w:val="1"/>
        </w:numPr>
        <w:shd w:val="clear" w:color="auto" w:fill="auto"/>
        <w:tabs>
          <w:tab w:val="left" w:pos="996"/>
          <w:tab w:val="clear" w:pos="312"/>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olor w:val="auto"/>
          <w:sz w:val="32"/>
          <w:szCs w:val="32"/>
        </w:rPr>
      </w:pPr>
      <w:bookmarkStart w:id="3" w:name="bookmark8"/>
      <w:bookmarkEnd w:id="3"/>
      <w:r>
        <w:rPr>
          <w:rFonts w:hint="eastAsia" w:ascii="仿宋_GB2312" w:hAnsi="仿宋_GB2312" w:eastAsia="仿宋_GB2312" w:cs="仿宋_GB2312"/>
          <w:color w:val="auto"/>
          <w:spacing w:val="0"/>
          <w:w w:val="100"/>
          <w:position w:val="0"/>
          <w:sz w:val="32"/>
          <w:szCs w:val="32"/>
        </w:rPr>
        <w:t>自愿</w:t>
      </w:r>
      <w:r>
        <w:rPr>
          <w:rFonts w:hint="eastAsia" w:ascii="仿宋_GB2312" w:hAnsi="仿宋_GB2312" w:eastAsia="仿宋_GB2312" w:cs="仿宋_GB2312"/>
          <w:color w:val="auto"/>
          <w:spacing w:val="0"/>
          <w:w w:val="100"/>
          <w:position w:val="0"/>
          <w:sz w:val="32"/>
          <w:szCs w:val="32"/>
          <w:lang w:val="en-US" w:eastAsia="zh-CN"/>
        </w:rPr>
        <w:t>申请</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符合认定标准的</w:t>
      </w:r>
      <w:r>
        <w:rPr>
          <w:rFonts w:hint="eastAsia" w:ascii="仿宋_GB2312" w:hAnsi="仿宋_GB2312" w:eastAsia="仿宋_GB2312" w:cs="仿宋_GB2312"/>
          <w:color w:val="auto"/>
          <w:spacing w:val="0"/>
          <w:w w:val="100"/>
          <w:position w:val="0"/>
          <w:sz w:val="32"/>
          <w:szCs w:val="32"/>
          <w:lang w:val="en-US" w:eastAsia="zh-CN"/>
        </w:rPr>
        <w:t>民办</w:t>
      </w:r>
      <w:r>
        <w:rPr>
          <w:rFonts w:hint="eastAsia" w:ascii="仿宋_GB2312" w:hAnsi="仿宋_GB2312" w:eastAsia="仿宋_GB2312" w:cs="仿宋_GB2312"/>
          <w:color w:val="auto"/>
          <w:spacing w:val="0"/>
          <w:w w:val="100"/>
          <w:position w:val="0"/>
          <w:sz w:val="32"/>
          <w:szCs w:val="32"/>
        </w:rPr>
        <w:t>幼儿园于每年</w:t>
      </w:r>
      <w:r>
        <w:rPr>
          <w:rFonts w:hint="eastAsia" w:ascii="仿宋_GB2312" w:hAnsi="仿宋_GB2312" w:eastAsia="仿宋_GB2312" w:cs="仿宋_GB2312"/>
          <w:color w:val="auto"/>
          <w:spacing w:val="0"/>
          <w:w w:val="100"/>
          <w:position w:val="0"/>
          <w:sz w:val="32"/>
          <w:szCs w:val="32"/>
          <w:lang w:val="en-US" w:eastAsia="zh-CN"/>
        </w:rPr>
        <w:t>7</w:t>
      </w:r>
      <w:r>
        <w:rPr>
          <w:rFonts w:hint="eastAsia" w:ascii="仿宋_GB2312" w:hAnsi="仿宋_GB2312" w:eastAsia="仿宋_GB2312" w:cs="仿宋_GB2312"/>
          <w:color w:val="auto"/>
          <w:spacing w:val="0"/>
          <w:w w:val="100"/>
          <w:position w:val="0"/>
          <w:sz w:val="32"/>
          <w:szCs w:val="32"/>
        </w:rPr>
        <w:t>月份向</w:t>
      </w:r>
      <w:bookmarkStart w:id="4" w:name="OLE_LINK13"/>
      <w:r>
        <w:rPr>
          <w:rFonts w:hint="eastAsia" w:ascii="仿宋_GB2312" w:hAnsi="仿宋_GB2312" w:eastAsia="仿宋_GB2312" w:cs="仿宋_GB2312"/>
          <w:color w:val="auto"/>
          <w:spacing w:val="0"/>
          <w:w w:val="100"/>
          <w:position w:val="0"/>
          <w:sz w:val="32"/>
          <w:szCs w:val="32"/>
        </w:rPr>
        <w:t>所属中心学校</w:t>
      </w:r>
      <w:r>
        <w:rPr>
          <w:rFonts w:hint="eastAsia" w:ascii="仿宋_GB2312" w:hAnsi="仿宋_GB2312" w:eastAsia="仿宋_GB2312" w:cs="仿宋_GB2312"/>
          <w:color w:val="auto"/>
          <w:spacing w:val="0"/>
          <w:w w:val="100"/>
          <w:position w:val="0"/>
          <w:sz w:val="32"/>
          <w:szCs w:val="32"/>
          <w:lang w:val="en-US" w:eastAsia="zh-CN"/>
        </w:rPr>
        <w:t>或</w:t>
      </w:r>
      <w:r>
        <w:rPr>
          <w:rFonts w:hint="eastAsia" w:ascii="仿宋_GB2312" w:hAnsi="仿宋_GB2312" w:eastAsia="仿宋_GB2312" w:cs="仿宋_GB2312"/>
          <w:color w:val="auto"/>
          <w:spacing w:val="0"/>
          <w:w w:val="100"/>
          <w:position w:val="0"/>
          <w:sz w:val="32"/>
          <w:szCs w:val="32"/>
        </w:rPr>
        <w:t>直</w:t>
      </w:r>
      <w:r>
        <w:rPr>
          <w:rFonts w:hint="eastAsia" w:ascii="仿宋_GB2312" w:hAnsi="仿宋_GB2312" w:eastAsia="仿宋_GB2312"/>
          <w:color w:val="auto"/>
          <w:sz w:val="32"/>
          <w:szCs w:val="32"/>
        </w:rPr>
        <w:t>小办</w:t>
      </w:r>
      <w:bookmarkEnd w:id="4"/>
      <w:r>
        <w:rPr>
          <w:rFonts w:hint="eastAsia" w:ascii="仿宋_GB2312" w:hAnsi="仿宋_GB2312" w:eastAsia="仿宋_GB2312"/>
          <w:color w:val="auto"/>
          <w:sz w:val="32"/>
          <w:szCs w:val="32"/>
        </w:rPr>
        <w:t>提出书面申请，并按</w:t>
      </w:r>
      <w:r>
        <w:rPr>
          <w:rFonts w:hint="eastAsia" w:ascii="仿宋_GB2312" w:hAnsi="仿宋_GB2312" w:eastAsia="仿宋_GB2312"/>
          <w:color w:val="auto"/>
          <w:sz w:val="32"/>
          <w:szCs w:val="32"/>
          <w:lang w:val="en-US" w:eastAsia="zh-CN"/>
        </w:rPr>
        <w:t>以下</w:t>
      </w:r>
      <w:r>
        <w:rPr>
          <w:rFonts w:hint="eastAsia" w:ascii="仿宋_GB2312" w:hAnsi="仿宋_GB2312" w:eastAsia="仿宋_GB2312"/>
          <w:color w:val="auto"/>
          <w:sz w:val="32"/>
          <w:szCs w:val="32"/>
        </w:rPr>
        <w:t>要求上交申报材料</w:t>
      </w:r>
      <w:r>
        <w:rPr>
          <w:rFonts w:hint="eastAsia" w:ascii="仿宋_GB2312" w:hAnsi="仿宋_GB2312" w:eastAsia="仿宋_GB2312"/>
          <w:color w:val="auto"/>
          <w:sz w:val="32"/>
          <w:szCs w:val="32"/>
          <w:lang w:val="en-US" w:eastAsia="zh-CN"/>
        </w:rPr>
        <w:t>两套</w:t>
      </w:r>
      <w:r>
        <w:rPr>
          <w:rFonts w:hint="eastAsia" w:ascii="仿宋_GB2312" w:hAnsi="仿宋_GB2312" w:eastAsia="仿宋_GB2312"/>
          <w:color w:val="auto"/>
          <w:sz w:val="32"/>
          <w:szCs w:val="32"/>
        </w:rPr>
        <w:t>。</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《清城区普惠性民办幼儿园申报审批表》（提供原件，一式三份）。</w:t>
      </w:r>
    </w:p>
    <w:p>
      <w:pPr>
        <w:keepNext w:val="0"/>
        <w:keepLines w:val="0"/>
        <w:pageBreakBefore w:val="0"/>
        <w:kinsoku/>
        <w:overflowPunct/>
        <w:topLinePunct w:val="0"/>
        <w:autoSpaceDE/>
        <w:autoSpaceDN/>
        <w:bidi w:val="0"/>
        <w:adjustRightInd/>
        <w:snapToGrid/>
        <w:spacing w:after="0" w:line="560" w:lineRule="exact"/>
        <w:ind w:firstLine="64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2</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上一年度幼儿园财务报表和审计报告（提供原件，一式三份）。</w:t>
      </w:r>
    </w:p>
    <w:p>
      <w:pPr>
        <w:keepNext w:val="0"/>
        <w:keepLines w:val="0"/>
        <w:pageBreakBefore w:val="0"/>
        <w:kinsoku/>
        <w:overflowPunct/>
        <w:topLinePunct w:val="0"/>
        <w:autoSpaceDE/>
        <w:autoSpaceDN/>
        <w:bidi w:val="0"/>
        <w:adjustRightInd/>
        <w:snapToGrid/>
        <w:spacing w:after="0" w:line="560" w:lineRule="exact"/>
        <w:ind w:firstLine="64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3</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幼儿园相关证件：办学许可证、民办非企业登记证书、收费表、餐饮服务许可证（或食品经营许可证）、消防、防雷验收合格意见书（审验原件，提交加盖幼儿园公章的复印件）。</w:t>
      </w:r>
    </w:p>
    <w:p>
      <w:pPr>
        <w:keepNext w:val="0"/>
        <w:keepLines w:val="0"/>
        <w:pageBreakBefore w:val="0"/>
        <w:kinsoku/>
        <w:overflowPunct/>
        <w:topLinePunct w:val="0"/>
        <w:autoSpaceDE/>
        <w:autoSpaceDN/>
        <w:bidi w:val="0"/>
        <w:adjustRightInd/>
        <w:snapToGrid/>
        <w:spacing w:after="0" w:line="560" w:lineRule="exact"/>
        <w:ind w:firstLine="64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4</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幼儿园本学年教育教学工作计划（含幼儿一日生活作息时间安排表，加盖幼儿园公章）。</w:t>
      </w:r>
    </w:p>
    <w:p>
      <w:pPr>
        <w:keepNext w:val="0"/>
        <w:keepLines w:val="0"/>
        <w:pageBreakBefore w:val="0"/>
        <w:kinsoku/>
        <w:overflowPunct/>
        <w:topLinePunct w:val="0"/>
        <w:autoSpaceDE/>
        <w:autoSpaceDN/>
        <w:bidi w:val="0"/>
        <w:adjustRightInd/>
        <w:snapToGrid/>
        <w:spacing w:after="0" w:line="560" w:lineRule="exact"/>
        <w:ind w:firstLine="64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5</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幼儿园本年度近3个月薪酬证明材料及本年度幼儿园的银行帐（验原件，留复印件）。</w:t>
      </w:r>
    </w:p>
    <w:p>
      <w:pPr>
        <w:keepNext w:val="0"/>
        <w:keepLines w:val="0"/>
        <w:pageBreakBefore w:val="0"/>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6</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教职工花名册及教职工相应的从业资格证明材料。</w:t>
      </w:r>
    </w:p>
    <w:p>
      <w:pPr>
        <w:keepNext w:val="0"/>
        <w:keepLines w:val="0"/>
        <w:pageBreakBefore w:val="0"/>
        <w:kinsoku/>
        <w:overflowPunct/>
        <w:topLinePunct w:val="0"/>
        <w:autoSpaceDE/>
        <w:autoSpaceDN/>
        <w:bidi w:val="0"/>
        <w:adjustRightInd/>
        <w:snapToGrid/>
        <w:spacing w:after="0" w:line="560" w:lineRule="exact"/>
        <w:ind w:firstLine="640"/>
        <w:jc w:val="both"/>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7</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教职工购买医社保</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住房公积金</w:t>
      </w:r>
      <w:r>
        <w:rPr>
          <w:rFonts w:hint="eastAsia" w:ascii="仿宋_GB2312" w:hAnsi="仿宋_GB2312" w:eastAsia="仿宋_GB2312"/>
          <w:color w:val="auto"/>
          <w:sz w:val="32"/>
          <w:szCs w:val="32"/>
        </w:rPr>
        <w:t>情况说明及相关佐证材料。</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olor w:val="auto"/>
          <w:sz w:val="32"/>
          <w:szCs w:val="32"/>
          <w:lang w:eastAsia="zh-CN"/>
        </w:rPr>
      </w:pPr>
      <w:bookmarkStart w:id="5" w:name="bookmark9"/>
      <w:bookmarkEnd w:id="5"/>
      <w:r>
        <w:rPr>
          <w:rFonts w:hint="eastAsia" w:ascii="仿宋_GB2312" w:hAnsi="仿宋_GB2312" w:eastAsia="仿宋_GB2312"/>
          <w:color w:val="auto"/>
          <w:sz w:val="32"/>
          <w:szCs w:val="32"/>
        </w:rPr>
        <w:t>2.组织认定。中心学校、直小办成立普惠性民办幼儿园认定评审组，根据幼儿园提供的材料，对照认定标准，进行实地考察和评审,经过初审后</w:t>
      </w:r>
      <w:r>
        <w:rPr>
          <w:rFonts w:hint="eastAsia" w:ascii="仿宋_GB2312" w:hAnsi="仿宋_GB2312" w:eastAsia="仿宋_GB2312"/>
          <w:color w:val="auto"/>
          <w:sz w:val="32"/>
          <w:szCs w:val="32"/>
          <w:lang w:val="en-US" w:eastAsia="zh-CN"/>
        </w:rPr>
        <w:t>7</w:t>
      </w:r>
      <w:r>
        <w:rPr>
          <w:rFonts w:hint="eastAsia" w:ascii="仿宋_GB2312" w:hAnsi="仿宋_GB2312" w:eastAsia="仿宋_GB2312"/>
          <w:color w:val="auto"/>
          <w:sz w:val="32"/>
          <w:szCs w:val="32"/>
        </w:rPr>
        <w:t>月份前上报</w:t>
      </w:r>
      <w:r>
        <w:rPr>
          <w:rFonts w:hint="eastAsia" w:ascii="仿宋_GB2312" w:hAnsi="仿宋_GB2312" w:eastAsia="仿宋_GB2312"/>
          <w:color w:val="auto"/>
          <w:sz w:val="32"/>
          <w:szCs w:val="32"/>
          <w:lang w:val="en-US" w:eastAsia="zh-CN"/>
        </w:rPr>
        <w:t>清城</w:t>
      </w:r>
      <w:r>
        <w:rPr>
          <w:rFonts w:hint="eastAsia" w:ascii="仿宋_GB2312" w:hAnsi="仿宋_GB2312" w:eastAsia="仿宋_GB2312"/>
          <w:color w:val="auto"/>
          <w:sz w:val="32"/>
          <w:szCs w:val="32"/>
        </w:rPr>
        <w:t>区教育局教育股</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清城</w:t>
      </w:r>
      <w:r>
        <w:rPr>
          <w:rFonts w:hint="eastAsia" w:ascii="仿宋_GB2312" w:hAnsi="仿宋_GB2312" w:eastAsia="仿宋_GB2312"/>
          <w:color w:val="auto"/>
          <w:sz w:val="32"/>
          <w:szCs w:val="32"/>
        </w:rPr>
        <w:t>区教育局组织审核组成员（审核组成员由清城区教育局、</w:t>
      </w:r>
      <w:r>
        <w:rPr>
          <w:rFonts w:hint="eastAsia" w:eastAsia="仿宋_GB2312"/>
          <w:color w:val="auto"/>
          <w:sz w:val="32"/>
          <w:szCs w:val="32"/>
        </w:rPr>
        <w:t>清城区发展</w:t>
      </w:r>
      <w:r>
        <w:rPr>
          <w:rFonts w:hint="eastAsia" w:eastAsia="仿宋_GB2312"/>
          <w:color w:val="auto"/>
          <w:sz w:val="32"/>
          <w:szCs w:val="32"/>
          <w:lang w:val="en-US" w:eastAsia="zh-CN"/>
        </w:rPr>
        <w:t>和</w:t>
      </w:r>
      <w:r>
        <w:rPr>
          <w:rFonts w:hint="eastAsia" w:eastAsia="仿宋_GB2312"/>
          <w:color w:val="auto"/>
          <w:sz w:val="32"/>
          <w:szCs w:val="32"/>
        </w:rPr>
        <w:t>改革局、</w:t>
      </w:r>
      <w:r>
        <w:rPr>
          <w:rFonts w:hint="eastAsia" w:eastAsia="仿宋_GB2312"/>
          <w:color w:val="auto"/>
          <w:sz w:val="32"/>
          <w:szCs w:val="32"/>
          <w:lang w:val="en-US" w:eastAsia="zh-CN"/>
        </w:rPr>
        <w:t>清城区民政局、</w:t>
      </w:r>
      <w:r>
        <w:rPr>
          <w:rFonts w:hint="eastAsia" w:eastAsia="仿宋_GB2312"/>
          <w:color w:val="auto"/>
          <w:sz w:val="32"/>
          <w:szCs w:val="32"/>
        </w:rPr>
        <w:t>清城区财政局、清城区人力资源和社会保障局</w:t>
      </w:r>
      <w:r>
        <w:rPr>
          <w:rFonts w:hint="eastAsia" w:eastAsia="仿宋_GB2312"/>
          <w:color w:val="auto"/>
          <w:sz w:val="32"/>
          <w:szCs w:val="32"/>
          <w:lang w:eastAsia="zh-CN"/>
        </w:rPr>
        <w:t>、</w:t>
      </w:r>
      <w:r>
        <w:rPr>
          <w:rFonts w:hint="eastAsia" w:eastAsia="仿宋_GB2312"/>
          <w:color w:val="auto"/>
          <w:sz w:val="32"/>
          <w:szCs w:val="32"/>
          <w:lang w:val="en-US" w:eastAsia="zh-CN"/>
        </w:rPr>
        <w:t>清城区市场监督管理局</w:t>
      </w:r>
      <w:r>
        <w:rPr>
          <w:rFonts w:hint="eastAsia" w:eastAsia="仿宋_GB2312"/>
          <w:color w:val="auto"/>
          <w:sz w:val="32"/>
          <w:szCs w:val="32"/>
        </w:rPr>
        <w:t>的相关人员组成）</w:t>
      </w:r>
      <w:r>
        <w:rPr>
          <w:rFonts w:hint="eastAsia" w:ascii="仿宋_GB2312" w:hAnsi="仿宋_GB2312" w:eastAsia="仿宋_GB2312"/>
          <w:color w:val="auto"/>
          <w:sz w:val="32"/>
          <w:szCs w:val="32"/>
        </w:rPr>
        <w:t>严格按照普惠性民办幼儿园认定条件和办法，对所属中心学校、直小办初审后上报的符合申报普惠性民办幼儿园的材料进行复核，</w:t>
      </w:r>
      <w:r>
        <w:rPr>
          <w:rFonts w:hint="eastAsia" w:ascii="仿宋_GB2312" w:hAnsi="仿宋_GB2312" w:eastAsia="仿宋_GB2312"/>
          <w:color w:val="auto"/>
          <w:sz w:val="32"/>
          <w:szCs w:val="32"/>
          <w:lang w:val="en-US" w:eastAsia="zh-CN"/>
        </w:rPr>
        <w:t>通</w:t>
      </w:r>
      <w:r>
        <w:rPr>
          <w:rFonts w:hint="eastAsia" w:ascii="仿宋_GB2312" w:hAnsi="仿宋_GB2312" w:eastAsia="仿宋_GB2312"/>
          <w:color w:val="auto"/>
          <w:sz w:val="32"/>
          <w:szCs w:val="32"/>
        </w:rPr>
        <w:t>过认定的普惠性民办幼儿园名单在清城区教育信息网进行不少于5天的公示</w:t>
      </w:r>
      <w:r>
        <w:rPr>
          <w:rFonts w:hint="eastAsia" w:ascii="仿宋_GB2312" w:hAnsi="仿宋_GB2312" w:eastAsia="仿宋_GB2312"/>
          <w:color w:val="auto"/>
          <w:sz w:val="32"/>
          <w:szCs w:val="32"/>
          <w:lang w:eastAsia="zh-CN"/>
        </w:rPr>
        <w:t>。</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3.签署承诺书。通过</w:t>
      </w:r>
      <w:r>
        <w:rPr>
          <w:rFonts w:hint="eastAsia" w:ascii="仿宋_GB2312" w:hAnsi="仿宋_GB2312" w:eastAsia="仿宋_GB2312"/>
          <w:color w:val="auto"/>
          <w:sz w:val="32"/>
          <w:szCs w:val="32"/>
          <w:lang w:val="en-US" w:eastAsia="zh-CN"/>
        </w:rPr>
        <w:t>清城</w:t>
      </w:r>
      <w:r>
        <w:rPr>
          <w:rFonts w:hint="eastAsia" w:ascii="仿宋_GB2312" w:hAnsi="仿宋_GB2312" w:eastAsia="仿宋_GB2312"/>
          <w:color w:val="auto"/>
          <w:sz w:val="32"/>
          <w:szCs w:val="32"/>
        </w:rPr>
        <w:t>区教育局认定后，普惠性民办幼儿园的法定代表人签署《清城区</w:t>
      </w:r>
      <w:bookmarkStart w:id="6" w:name="OLE_LINK11"/>
      <w:r>
        <w:rPr>
          <w:rFonts w:hint="eastAsia" w:ascii="仿宋_GB2312" w:hAnsi="仿宋_GB2312" w:eastAsia="仿宋_GB2312"/>
          <w:color w:val="auto"/>
          <w:sz w:val="32"/>
          <w:szCs w:val="32"/>
        </w:rPr>
        <w:t>普惠性民办幼儿园办学承诺书</w:t>
      </w:r>
      <w:bookmarkEnd w:id="6"/>
      <w:r>
        <w:rPr>
          <w:rFonts w:hint="eastAsia" w:ascii="仿宋_GB2312" w:hAnsi="仿宋_GB2312" w:eastAsia="仿宋_GB2312"/>
          <w:color w:val="auto"/>
          <w:sz w:val="32"/>
          <w:szCs w:val="32"/>
        </w:rPr>
        <w:t>》，承诺书由幼儿园和</w:t>
      </w:r>
      <w:r>
        <w:rPr>
          <w:rFonts w:hint="eastAsia" w:ascii="仿宋_GB2312" w:hAnsi="仿宋_GB2312" w:eastAsia="仿宋_GB2312"/>
          <w:color w:val="auto"/>
          <w:sz w:val="32"/>
          <w:szCs w:val="32"/>
          <w:lang w:val="en-US" w:eastAsia="zh-CN"/>
        </w:rPr>
        <w:t>清城</w:t>
      </w:r>
      <w:r>
        <w:rPr>
          <w:rFonts w:hint="eastAsia" w:ascii="仿宋_GB2312" w:hAnsi="仿宋_GB2312" w:eastAsia="仿宋_GB2312"/>
          <w:color w:val="auto"/>
          <w:sz w:val="32"/>
          <w:szCs w:val="32"/>
        </w:rPr>
        <w:t>区教育局分别备存。</w:t>
      </w:r>
    </w:p>
    <w:p>
      <w:pPr>
        <w:keepNext w:val="0"/>
        <w:keepLines w:val="0"/>
        <w:pageBreakBefore w:val="0"/>
        <w:kinsoku/>
        <w:overflowPunct/>
        <w:topLinePunct w:val="0"/>
        <w:autoSpaceDE/>
        <w:autoSpaceDN/>
        <w:bidi w:val="0"/>
        <w:adjustRightInd/>
        <w:snapToGrid/>
        <w:spacing w:after="0" w:line="560" w:lineRule="exact"/>
        <w:ind w:firstLine="64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4.发文认定</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通过评审和公示并签署承诺书的幼儿园，由</w:t>
      </w:r>
      <w:r>
        <w:rPr>
          <w:rFonts w:hint="eastAsia" w:ascii="仿宋_GB2312" w:hAnsi="仿宋_GB2312" w:eastAsia="仿宋_GB2312"/>
          <w:color w:val="auto"/>
          <w:sz w:val="32"/>
          <w:szCs w:val="32"/>
          <w:lang w:val="en-US" w:eastAsia="zh-CN"/>
        </w:rPr>
        <w:t>清城</w:t>
      </w:r>
      <w:r>
        <w:rPr>
          <w:rFonts w:hint="eastAsia" w:ascii="仿宋_GB2312" w:hAnsi="仿宋_GB2312" w:eastAsia="仿宋_GB2312"/>
          <w:color w:val="auto"/>
          <w:sz w:val="32"/>
          <w:szCs w:val="32"/>
        </w:rPr>
        <w:t>区教育局发文认定，</w:t>
      </w:r>
      <w:r>
        <w:rPr>
          <w:rFonts w:hint="eastAsia" w:ascii="仿宋_GB2312" w:hAnsi="仿宋_GB2312" w:eastAsia="仿宋_GB2312"/>
          <w:color w:val="auto"/>
          <w:sz w:val="32"/>
          <w:szCs w:val="32"/>
          <w:lang w:val="en-US" w:eastAsia="zh-CN"/>
        </w:rPr>
        <w:t>通过当地政府门户网站</w:t>
      </w:r>
      <w:r>
        <w:rPr>
          <w:rFonts w:hint="eastAsia" w:ascii="仿宋_GB2312" w:hAnsi="仿宋_GB2312" w:eastAsia="仿宋_GB2312"/>
          <w:color w:val="auto"/>
          <w:sz w:val="32"/>
          <w:szCs w:val="32"/>
        </w:rPr>
        <w:t>向社会公布名单和收费标准，同时报当地发展改革、</w:t>
      </w:r>
      <w:r>
        <w:rPr>
          <w:rFonts w:hint="eastAsia" w:ascii="仿宋_GB2312" w:hAnsi="仿宋_GB2312" w:eastAsia="仿宋_GB2312"/>
          <w:color w:val="auto"/>
          <w:sz w:val="32"/>
          <w:szCs w:val="32"/>
          <w:lang w:val="en-US" w:eastAsia="zh-CN"/>
        </w:rPr>
        <w:t>民政、</w:t>
      </w:r>
      <w:r>
        <w:rPr>
          <w:rFonts w:hint="eastAsia" w:ascii="仿宋_GB2312" w:hAnsi="仿宋_GB2312" w:eastAsia="仿宋_GB2312"/>
          <w:color w:val="auto"/>
          <w:sz w:val="32"/>
          <w:szCs w:val="32"/>
        </w:rPr>
        <w:t>财政、人社等部门和市级教育行政部门备案</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并在全国学校（机构）代码管理信息系统中登记</w:t>
      </w:r>
      <w:r>
        <w:rPr>
          <w:rFonts w:hint="eastAsia" w:ascii="仿宋_GB2312" w:hAnsi="仿宋_GB2312" w:eastAsia="仿宋_GB2312"/>
          <w:color w:val="auto"/>
          <w:sz w:val="32"/>
          <w:szCs w:val="32"/>
        </w:rPr>
        <w:t>。</w:t>
      </w:r>
      <w:bookmarkStart w:id="7" w:name="OLE_LINK10"/>
    </w:p>
    <w:bookmarkEnd w:id="7"/>
    <w:p>
      <w:pPr>
        <w:keepNext w:val="0"/>
        <w:keepLines w:val="0"/>
        <w:pageBreakBefore w:val="0"/>
        <w:tabs>
          <w:tab w:val="left" w:pos="2377"/>
        </w:tabs>
        <w:kinsoku/>
        <w:overflowPunct/>
        <w:topLinePunct w:val="0"/>
        <w:autoSpaceDE/>
        <w:autoSpaceDN/>
        <w:bidi w:val="0"/>
        <w:adjustRightInd/>
        <w:snapToGrid/>
        <w:spacing w:after="0" w:line="560" w:lineRule="exact"/>
        <w:ind w:firstLine="640"/>
        <w:jc w:val="both"/>
        <w:textAlignment w:val="auto"/>
        <w:rPr>
          <w:rFonts w:hint="default" w:ascii="楷体_GB2312" w:hAnsi="楷体_GB2312" w:eastAsia="楷体_GB2312"/>
          <w:color w:val="auto"/>
          <w:sz w:val="32"/>
          <w:szCs w:val="32"/>
          <w:highlight w:val="yellow"/>
          <w:lang w:val="en-US" w:eastAsia="zh-CN"/>
        </w:rPr>
      </w:pPr>
      <w:r>
        <w:rPr>
          <w:rFonts w:hint="eastAsia" w:ascii="楷体_GB2312" w:hAnsi="楷体_GB2312" w:eastAsia="楷体_GB2312"/>
          <w:color w:val="auto"/>
          <w:sz w:val="32"/>
          <w:szCs w:val="32"/>
        </w:rPr>
        <w:t>（三）</w:t>
      </w:r>
      <w:r>
        <w:rPr>
          <w:rFonts w:hint="eastAsia" w:ascii="楷体_GB2312" w:hAnsi="楷体_GB2312" w:eastAsia="楷体_GB2312"/>
          <w:color w:val="auto"/>
          <w:sz w:val="32"/>
          <w:szCs w:val="32"/>
          <w:lang w:val="en-US" w:eastAsia="zh-CN"/>
        </w:rPr>
        <w:t>退出机制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Times New Roman"/>
          <w:color w:val="000000"/>
          <w:spacing w:val="0"/>
          <w:w w:val="100"/>
          <w:kern w:val="0"/>
          <w:position w:val="0"/>
          <w:sz w:val="32"/>
          <w:szCs w:val="32"/>
          <w:shd w:val="clear" w:color="auto" w:fill="auto"/>
          <w:lang w:val="en-US" w:eastAsia="en-US" w:bidi="en-US"/>
        </w:rPr>
      </w:pP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s="Times New Roman"/>
          <w:color w:val="auto"/>
          <w:spacing w:val="0"/>
          <w:w w:val="100"/>
          <w:kern w:val="0"/>
          <w:position w:val="0"/>
          <w:sz w:val="32"/>
          <w:szCs w:val="32"/>
          <w:shd w:val="clear" w:color="auto" w:fill="auto"/>
          <w:lang w:val="en-US" w:eastAsia="zh-CN" w:bidi="en-US"/>
        </w:rPr>
        <w:t xml:space="preserve">  </w:t>
      </w:r>
      <w:r>
        <w:rPr>
          <w:rFonts w:hint="eastAsia" w:ascii="仿宋_GB2312" w:hAnsi="仿宋_GB2312" w:eastAsia="仿宋_GB2312" w:cs="Times New Roman"/>
          <w:color w:val="auto"/>
          <w:spacing w:val="0"/>
          <w:w w:val="100"/>
          <w:kern w:val="0"/>
          <w:position w:val="0"/>
          <w:sz w:val="32"/>
          <w:szCs w:val="32"/>
          <w:shd w:val="clear" w:color="auto" w:fill="auto"/>
          <w:lang w:val="en-US" w:eastAsia="en-US" w:bidi="en-US"/>
        </w:rPr>
        <w:t>1.按照自愿的原则，经认定的普惠性民办幼</w:t>
      </w:r>
      <w:r>
        <w:rPr>
          <w:rFonts w:hint="eastAsia" w:ascii="仿宋_GB2312" w:hAnsi="仿宋_GB2312" w:eastAsia="仿宋_GB2312" w:cs="Times New Roman"/>
          <w:color w:val="000000"/>
          <w:spacing w:val="0"/>
          <w:w w:val="100"/>
          <w:kern w:val="0"/>
          <w:position w:val="0"/>
          <w:sz w:val="32"/>
          <w:szCs w:val="32"/>
          <w:shd w:val="clear" w:color="auto" w:fill="auto"/>
          <w:lang w:val="en-US" w:eastAsia="en-US" w:bidi="en-US"/>
        </w:rPr>
        <w:t>儿园可申请退出普惠性民办幼儿园，但认定为普惠性民办幼儿园的新建城镇小区配套幼儿园除外。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Times New Roman"/>
          <w:color w:val="000000"/>
          <w:spacing w:val="0"/>
          <w:w w:val="100"/>
          <w:kern w:val="0"/>
          <w:position w:val="0"/>
          <w:sz w:val="32"/>
          <w:szCs w:val="32"/>
          <w:shd w:val="clear" w:color="auto" w:fill="auto"/>
          <w:lang w:val="en-US" w:eastAsia="en-US" w:bidi="en-US"/>
        </w:rPr>
      </w:pPr>
      <w:r>
        <w:rPr>
          <w:rFonts w:hint="eastAsia" w:ascii="仿宋_GB2312" w:hAnsi="仿宋_GB2312" w:eastAsia="仿宋_GB2312" w:cs="Times New Roman"/>
          <w:color w:val="000000"/>
          <w:spacing w:val="0"/>
          <w:w w:val="100"/>
          <w:kern w:val="0"/>
          <w:position w:val="0"/>
          <w:sz w:val="32"/>
          <w:szCs w:val="32"/>
          <w:shd w:val="clear" w:color="auto" w:fill="auto"/>
          <w:lang w:val="en-US" w:eastAsia="en-US" w:bidi="en-US"/>
        </w:rPr>
        <w:t>　　2.普惠性民办幼儿园在有效期内申请退出的，应当以书面形式向所在</w:t>
      </w:r>
      <w:r>
        <w:rPr>
          <w:rFonts w:hint="eastAsia" w:ascii="仿宋_GB2312" w:hAnsi="仿宋_GB2312" w:eastAsia="仿宋_GB2312" w:cs="Times New Roman"/>
          <w:color w:val="000000"/>
          <w:spacing w:val="0"/>
          <w:w w:val="100"/>
          <w:kern w:val="0"/>
          <w:position w:val="0"/>
          <w:sz w:val="32"/>
          <w:szCs w:val="32"/>
          <w:shd w:val="clear" w:color="auto" w:fill="auto"/>
          <w:lang w:val="en-US" w:eastAsia="zh-CN" w:bidi="en-US"/>
        </w:rPr>
        <w:t>清城区教育局</w:t>
      </w:r>
      <w:r>
        <w:rPr>
          <w:rFonts w:hint="eastAsia" w:ascii="仿宋_GB2312" w:hAnsi="仿宋_GB2312" w:eastAsia="仿宋_GB2312" w:cs="Times New Roman"/>
          <w:color w:val="000000"/>
          <w:spacing w:val="0"/>
          <w:w w:val="100"/>
          <w:kern w:val="0"/>
          <w:position w:val="0"/>
          <w:sz w:val="32"/>
          <w:szCs w:val="32"/>
          <w:shd w:val="clear" w:color="auto" w:fill="auto"/>
          <w:lang w:val="en-US" w:eastAsia="en-US" w:bidi="en-US"/>
        </w:rPr>
        <w:t>提出申请，并退回有效期内获得的财政补助。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Times New Roman"/>
          <w:color w:val="000000"/>
          <w:spacing w:val="0"/>
          <w:w w:val="100"/>
          <w:kern w:val="0"/>
          <w:position w:val="0"/>
          <w:sz w:val="32"/>
          <w:szCs w:val="32"/>
          <w:shd w:val="clear" w:color="auto" w:fill="auto"/>
          <w:lang w:val="en-US" w:eastAsia="zh-CN" w:bidi="en-US"/>
        </w:rPr>
      </w:pPr>
      <w:r>
        <w:rPr>
          <w:rFonts w:hint="eastAsia" w:ascii="仿宋_GB2312" w:hAnsi="仿宋_GB2312" w:eastAsia="仿宋_GB2312" w:cs="Times New Roman"/>
          <w:color w:val="000000"/>
          <w:spacing w:val="0"/>
          <w:w w:val="100"/>
          <w:kern w:val="0"/>
          <w:position w:val="0"/>
          <w:sz w:val="32"/>
          <w:szCs w:val="32"/>
          <w:shd w:val="clear" w:color="auto" w:fill="auto"/>
          <w:lang w:val="en-US" w:eastAsia="en-US" w:bidi="en-US"/>
        </w:rPr>
        <w:t>　　3.普惠性民办幼儿园在认定后有效期间，出现安全责任事故、保教质量严重下滑和严重违规等办园行为的，取消其普惠性民办幼儿园资格，追回财政补助，并视情节严重程度，由</w:t>
      </w:r>
      <w:r>
        <w:rPr>
          <w:rFonts w:hint="eastAsia" w:ascii="仿宋_GB2312" w:hAnsi="仿宋_GB2312" w:eastAsia="仿宋_GB2312" w:cs="Times New Roman"/>
          <w:color w:val="000000"/>
          <w:spacing w:val="0"/>
          <w:w w:val="100"/>
          <w:kern w:val="0"/>
          <w:position w:val="0"/>
          <w:sz w:val="32"/>
          <w:szCs w:val="32"/>
          <w:shd w:val="clear" w:color="auto" w:fill="auto"/>
          <w:lang w:val="en-US" w:eastAsia="zh-CN" w:bidi="en-US"/>
        </w:rPr>
        <w:t>清城区教育局</w:t>
      </w:r>
      <w:r>
        <w:rPr>
          <w:rFonts w:hint="eastAsia" w:ascii="仿宋_GB2312" w:hAnsi="仿宋_GB2312" w:eastAsia="仿宋_GB2312" w:cs="Times New Roman"/>
          <w:color w:val="000000"/>
          <w:spacing w:val="0"/>
          <w:w w:val="100"/>
          <w:kern w:val="0"/>
          <w:position w:val="0"/>
          <w:sz w:val="32"/>
          <w:szCs w:val="32"/>
          <w:shd w:val="clear" w:color="auto" w:fill="auto"/>
          <w:lang w:val="en-US" w:eastAsia="en-US" w:bidi="en-US"/>
        </w:rPr>
        <w:t>依法依规进行处罚。</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lang w:val="en-US" w:eastAsia="zh-CN"/>
        </w:rPr>
        <w:t>二</w:t>
      </w:r>
      <w:r>
        <w:rPr>
          <w:rFonts w:hint="eastAsia" w:ascii="黑体" w:hAnsi="黑体" w:eastAsia="黑体" w:cs="黑体"/>
          <w:color w:val="000000"/>
          <w:spacing w:val="0"/>
          <w:w w:val="100"/>
          <w:position w:val="0"/>
          <w:sz w:val="32"/>
          <w:szCs w:val="32"/>
        </w:rPr>
        <w:t>、普惠性民办幼儿园的扶持</w:t>
      </w:r>
    </w:p>
    <w:p>
      <w:pPr>
        <w:keepNext w:val="0"/>
        <w:keepLines w:val="0"/>
        <w:pageBreakBefore w:val="0"/>
        <w:tabs>
          <w:tab w:val="left" w:pos="2377"/>
        </w:tabs>
        <w:kinsoku/>
        <w:overflowPunct/>
        <w:topLinePunct w:val="0"/>
        <w:autoSpaceDE/>
        <w:autoSpaceDN/>
        <w:bidi w:val="0"/>
        <w:adjustRightInd/>
        <w:snapToGrid/>
        <w:spacing w:after="0" w:line="560" w:lineRule="exact"/>
        <w:ind w:firstLine="640"/>
        <w:jc w:val="both"/>
        <w:textAlignment w:val="auto"/>
        <w:rPr>
          <w:rFonts w:hint="eastAsia" w:ascii="楷体_GB2312" w:hAnsi="楷体_GB2312" w:eastAsia="楷体_GB2312"/>
          <w:sz w:val="32"/>
          <w:szCs w:val="32"/>
        </w:rPr>
      </w:pPr>
      <w:r>
        <w:rPr>
          <w:rFonts w:hint="eastAsia" w:ascii="楷体_GB2312" w:hAnsi="楷体_GB2312" w:eastAsia="楷体_GB2312"/>
          <w:sz w:val="32"/>
          <w:szCs w:val="32"/>
        </w:rPr>
        <w:t>（一）</w:t>
      </w:r>
      <w:r>
        <w:rPr>
          <w:rFonts w:hint="eastAsia" w:ascii="楷体_GB2312" w:hAnsi="楷体_GB2312" w:eastAsia="楷体_GB2312"/>
          <w:sz w:val="32"/>
          <w:szCs w:val="32"/>
          <w:lang w:val="en-US" w:eastAsia="zh-CN"/>
        </w:rPr>
        <w:t>落实</w:t>
      </w:r>
      <w:r>
        <w:rPr>
          <w:rFonts w:hint="eastAsia" w:ascii="楷体_GB2312" w:hAnsi="楷体_GB2312" w:eastAsia="楷体_GB2312"/>
          <w:sz w:val="32"/>
          <w:szCs w:val="32"/>
        </w:rPr>
        <w:t>政策优惠</w:t>
      </w:r>
    </w:p>
    <w:p>
      <w:pPr>
        <w:keepNext w:val="0"/>
        <w:keepLines w:val="0"/>
        <w:pageBreakBefore w:val="0"/>
        <w:shd w:val="clear" w:color="auto" w:fill="auto"/>
        <w:kinsoku/>
        <w:overflowPunct/>
        <w:topLinePunct w:val="0"/>
        <w:autoSpaceDE/>
        <w:autoSpaceDN/>
        <w:bidi w:val="0"/>
        <w:adjustRightInd/>
        <w:snapToGrid/>
        <w:spacing w:after="0" w:line="560" w:lineRule="exact"/>
        <w:ind w:firstLine="641"/>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经认定的普惠性民办幼儿园，享受各级政府相关扶持优惠政策。</w:t>
      </w:r>
    </w:p>
    <w:p>
      <w:pPr>
        <w:keepNext w:val="0"/>
        <w:keepLines w:val="0"/>
        <w:pageBreakBefore w:val="0"/>
        <w:shd w:val="clear" w:color="auto" w:fill="auto"/>
        <w:kinsoku/>
        <w:overflowPunct/>
        <w:topLinePunct w:val="0"/>
        <w:autoSpaceDE/>
        <w:autoSpaceDN/>
        <w:bidi w:val="0"/>
        <w:adjustRightInd/>
        <w:snapToGrid/>
        <w:spacing w:after="0" w:line="560" w:lineRule="exact"/>
        <w:ind w:firstLine="641"/>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保障普惠性民办幼儿园在分类定级、评估指导、项目申报、教师培训和职称评审等方面与公办幼儿园具有同等地位。</w:t>
      </w:r>
    </w:p>
    <w:p>
      <w:pPr>
        <w:keepNext w:val="0"/>
        <w:keepLines w:val="0"/>
        <w:pageBreakBefore w:val="0"/>
        <w:shd w:val="clear" w:color="auto" w:fill="auto"/>
        <w:kinsoku/>
        <w:overflowPunct/>
        <w:topLinePunct w:val="0"/>
        <w:autoSpaceDE/>
        <w:autoSpaceDN/>
        <w:bidi w:val="0"/>
        <w:adjustRightInd/>
        <w:snapToGrid/>
        <w:spacing w:after="0" w:line="560" w:lineRule="exact"/>
        <w:ind w:firstLine="641"/>
        <w:jc w:val="both"/>
        <w:textAlignment w:val="auto"/>
        <w:rPr>
          <w:rFonts w:hint="eastAsia" w:ascii="仿宋_GB2312" w:hAnsi="仿宋_GB2312" w:eastAsia="仿宋_GB2312"/>
          <w:color w:val="0000FF"/>
          <w:sz w:val="32"/>
          <w:szCs w:val="32"/>
        </w:rPr>
      </w:pP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保障普惠性民办幼儿园教职工在业务培训、教龄和工龄计算、表彰奖励、社会活动等方面依法享有与公办幼儿园教职工同等权利。</w:t>
      </w:r>
    </w:p>
    <w:p>
      <w:pPr>
        <w:keepNext w:val="0"/>
        <w:keepLines w:val="0"/>
        <w:pageBreakBefore w:val="0"/>
        <w:tabs>
          <w:tab w:val="left" w:pos="2377"/>
        </w:tabs>
        <w:kinsoku/>
        <w:overflowPunct/>
        <w:topLinePunct w:val="0"/>
        <w:autoSpaceDE/>
        <w:autoSpaceDN/>
        <w:bidi w:val="0"/>
        <w:adjustRightInd/>
        <w:snapToGrid/>
        <w:spacing w:after="0" w:line="560" w:lineRule="exact"/>
        <w:jc w:val="both"/>
        <w:textAlignment w:val="auto"/>
        <w:rPr>
          <w:rFonts w:hint="eastAsia" w:ascii="楷体_GB2312" w:hAnsi="楷体_GB2312" w:eastAsia="楷体_GB2312"/>
          <w:sz w:val="32"/>
          <w:szCs w:val="32"/>
        </w:rPr>
      </w:pPr>
      <w:r>
        <w:rPr>
          <w:rFonts w:hint="eastAsia" w:ascii="楷体_GB2312" w:hAnsi="楷体_GB2312" w:eastAsia="楷体_GB2312"/>
          <w:sz w:val="32"/>
          <w:szCs w:val="32"/>
        </w:rPr>
        <w:t xml:space="preserve">    （二）</w:t>
      </w:r>
      <w:r>
        <w:rPr>
          <w:rFonts w:hint="eastAsia" w:ascii="楷体_GB2312" w:hAnsi="楷体_GB2312" w:eastAsia="楷体_GB2312"/>
          <w:sz w:val="32"/>
          <w:szCs w:val="32"/>
          <w:lang w:val="en-US" w:eastAsia="zh-CN"/>
        </w:rPr>
        <w:t>加大</w:t>
      </w:r>
      <w:r>
        <w:rPr>
          <w:rFonts w:hint="eastAsia" w:ascii="楷体_GB2312" w:hAnsi="楷体_GB2312" w:eastAsia="楷体_GB2312"/>
          <w:sz w:val="32"/>
          <w:szCs w:val="32"/>
        </w:rPr>
        <w:t>财政扶持</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1.普惠性民办幼儿园优先享受各级财政支持民办幼儿园的各类专项发展奖补资金。</w:t>
      </w:r>
    </w:p>
    <w:p>
      <w:pPr>
        <w:keepNext w:val="0"/>
        <w:keepLines w:val="0"/>
        <w:pageBreakBefore w:val="0"/>
        <w:shd w:val="clear" w:color="auto" w:fill="auto"/>
        <w:kinsoku/>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按照广东省基本公共服务标准，落实普惠性民办幼儿园的经费补助政策，资助3-6岁常住人口家庭经济困难儿童、孤儿和残疾儿童接受学前教育，改善普惠性民办幼儿园办园条件。</w:t>
      </w:r>
    </w:p>
    <w:p>
      <w:pPr>
        <w:keepNext w:val="0"/>
        <w:keepLines w:val="0"/>
        <w:pageBreakBefore w:val="0"/>
        <w:shd w:val="clear" w:color="auto" w:fill="auto"/>
        <w:kinsoku/>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对普惠性民办幼儿园参照全省公办幼儿园生均公用经费财政拨款标准给予经费补助</w:t>
      </w:r>
      <w:r>
        <w:rPr>
          <w:rFonts w:hint="eastAsia" w:ascii="仿宋_GB2312" w:hAnsi="仿宋_GB2312" w:eastAsia="仿宋_GB2312"/>
          <w:sz w:val="32"/>
          <w:szCs w:val="32"/>
          <w:lang w:eastAsia="zh-CN"/>
        </w:rPr>
        <w:t>。</w:t>
      </w:r>
    </w:p>
    <w:p>
      <w:pPr>
        <w:keepNext w:val="0"/>
        <w:keepLines w:val="0"/>
        <w:pageBreakBefore w:val="0"/>
        <w:numPr>
          <w:ilvl w:val="0"/>
          <w:numId w:val="0"/>
        </w:numPr>
        <w:tabs>
          <w:tab w:val="left" w:pos="2377"/>
        </w:tabs>
        <w:kinsoku/>
        <w:overflowPunct/>
        <w:topLinePunct w:val="0"/>
        <w:autoSpaceDE/>
        <w:autoSpaceDN/>
        <w:bidi w:val="0"/>
        <w:adjustRightInd/>
        <w:snapToGrid/>
        <w:spacing w:after="0" w:line="560" w:lineRule="exact"/>
        <w:ind w:left="640" w:leftChars="0" w:right="0" w:rightChars="0"/>
        <w:jc w:val="both"/>
        <w:textAlignment w:val="auto"/>
        <w:rPr>
          <w:rFonts w:hint="default" w:ascii="仿宋_GB2312" w:hAnsi="仿宋_GB2312" w:eastAsia="仿宋_GB2312" w:cs="宋体"/>
          <w:color w:val="000000"/>
          <w:spacing w:val="0"/>
          <w:w w:val="100"/>
          <w:position w:val="0"/>
          <w:sz w:val="32"/>
          <w:szCs w:val="32"/>
          <w:u w:val="none"/>
          <w:shd w:val="clear" w:color="auto" w:fill="auto"/>
          <w:lang w:val="en-US" w:eastAsia="zh-CN" w:bidi="zh-TW"/>
        </w:rPr>
      </w:pPr>
      <w:r>
        <w:rPr>
          <w:rFonts w:hint="eastAsia" w:ascii="楷体_GB2312" w:hAnsi="楷体_GB2312" w:eastAsia="楷体_GB2312"/>
          <w:sz w:val="32"/>
          <w:szCs w:val="32"/>
          <w:lang w:val="en-US" w:eastAsia="zh-CN"/>
        </w:rPr>
        <w:t>（三）保障教师待遇</w:t>
      </w:r>
    </w:p>
    <w:p>
      <w:pPr>
        <w:keepNext w:val="0"/>
        <w:keepLines w:val="0"/>
        <w:pageBreakBefore w:val="0"/>
        <w:numPr>
          <w:ilvl w:val="0"/>
          <w:numId w:val="0"/>
        </w:numPr>
        <w:tabs>
          <w:tab w:val="left" w:pos="2377"/>
        </w:tabs>
        <w:kinsoku/>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仿宋_GB2312" w:eastAsia="仿宋_GB2312" w:cs="宋体"/>
          <w:color w:val="000000"/>
          <w:spacing w:val="0"/>
          <w:w w:val="100"/>
          <w:position w:val="0"/>
          <w:sz w:val="32"/>
          <w:szCs w:val="32"/>
          <w:u w:val="none"/>
          <w:shd w:val="clear" w:color="auto" w:fill="auto"/>
          <w:lang w:val="en-US" w:eastAsia="zh-CN" w:bidi="zh-TW"/>
        </w:rPr>
      </w:pPr>
      <w:r>
        <w:rPr>
          <w:rFonts w:hint="eastAsia" w:ascii="仿宋_GB2312" w:hAnsi="仿宋_GB2312" w:eastAsia="仿宋_GB2312" w:cs="宋体"/>
          <w:color w:val="000000"/>
          <w:spacing w:val="0"/>
          <w:w w:val="100"/>
          <w:position w:val="0"/>
          <w:sz w:val="32"/>
          <w:szCs w:val="32"/>
          <w:u w:val="none"/>
          <w:shd w:val="clear" w:color="auto" w:fill="auto"/>
          <w:lang w:val="zh-TW" w:eastAsia="zh-TW" w:bidi="zh-TW"/>
        </w:rPr>
        <w:t>普惠性民办幼儿园应当从保教费收入中提取一定比例建立专项资金，用于教职工职业激励或增加待遇保障。鼓励普惠性民办幼儿园按照有关规定为教职工建立企业年金等补充养老保险</w:t>
      </w:r>
      <w:r>
        <w:rPr>
          <w:rFonts w:hint="eastAsia" w:ascii="仿宋_GB2312" w:hAnsi="仿宋_GB2312" w:eastAsia="仿宋_GB2312" w:cs="宋体"/>
          <w:color w:val="000000"/>
          <w:spacing w:val="0"/>
          <w:w w:val="100"/>
          <w:position w:val="0"/>
          <w:sz w:val="32"/>
          <w:szCs w:val="32"/>
          <w:u w:val="none"/>
          <w:shd w:val="clear" w:color="auto" w:fill="auto"/>
          <w:lang w:val="zh-TW" w:eastAsia="zh-CN" w:bidi="zh-TW"/>
        </w:rPr>
        <w:t>。</w:t>
      </w:r>
    </w:p>
    <w:p>
      <w:pPr>
        <w:keepNext w:val="0"/>
        <w:keepLines w:val="0"/>
        <w:pageBreakBefore w:val="0"/>
        <w:tabs>
          <w:tab w:val="left" w:pos="2377"/>
        </w:tabs>
        <w:kinsoku/>
        <w:overflowPunct/>
        <w:topLinePunct w:val="0"/>
        <w:autoSpaceDE/>
        <w:autoSpaceDN/>
        <w:bidi w:val="0"/>
        <w:adjustRightInd/>
        <w:snapToGrid/>
        <w:spacing w:after="0" w:line="560" w:lineRule="exact"/>
        <w:ind w:firstLine="640"/>
        <w:jc w:val="both"/>
        <w:textAlignment w:val="auto"/>
        <w:rPr>
          <w:rFonts w:hint="eastAsia" w:ascii="楷体_GB2312" w:hAnsi="楷体_GB2312" w:eastAsia="楷体_GB2312"/>
          <w:sz w:val="32"/>
          <w:szCs w:val="32"/>
        </w:rPr>
      </w:pPr>
      <w:r>
        <w:rPr>
          <w:rFonts w:hint="eastAsia" w:ascii="楷体_GB2312" w:hAnsi="楷体_GB2312" w:eastAsia="楷体_GB2312"/>
          <w:sz w:val="32"/>
          <w:szCs w:val="32"/>
        </w:rPr>
        <w:t>（</w:t>
      </w:r>
      <w:r>
        <w:rPr>
          <w:rFonts w:hint="eastAsia" w:ascii="楷体_GB2312" w:hAnsi="楷体_GB2312" w:eastAsia="楷体_GB2312"/>
          <w:sz w:val="32"/>
          <w:szCs w:val="32"/>
          <w:lang w:val="en-US" w:eastAsia="zh-CN"/>
        </w:rPr>
        <w:t>四</w:t>
      </w:r>
      <w:r>
        <w:rPr>
          <w:rFonts w:hint="eastAsia" w:ascii="楷体_GB2312" w:hAnsi="楷体_GB2312" w:eastAsia="楷体_GB2312"/>
          <w:sz w:val="32"/>
          <w:szCs w:val="32"/>
        </w:rPr>
        <w:t>）</w:t>
      </w:r>
      <w:r>
        <w:rPr>
          <w:rFonts w:hint="eastAsia" w:ascii="楷体_GB2312" w:hAnsi="楷体_GB2312" w:eastAsia="楷体_GB2312"/>
          <w:sz w:val="32"/>
          <w:szCs w:val="32"/>
          <w:lang w:val="en-US" w:eastAsia="zh-CN"/>
        </w:rPr>
        <w:t>加强</w:t>
      </w:r>
      <w:r>
        <w:rPr>
          <w:rFonts w:hint="eastAsia" w:ascii="楷体_GB2312" w:hAnsi="楷体_GB2312" w:eastAsia="楷体_GB2312"/>
          <w:sz w:val="32"/>
          <w:szCs w:val="32"/>
        </w:rPr>
        <w:t>保教帮扶</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加强对普惠性民办幼儿园保教质量的帮扶力度，建立公办幼儿园、乡镇中心幼儿园等优质园对口帮扶机制。帮扶方一年至少两次指导普惠性民办幼儿园提升办园质量和管理水平，定期结对开展教研和教职工跟岗活动，加强普惠性民办幼儿园师资培训和保教工作的过程性指导。加大对农村和边远地区教师培训的支持力度，提高幼儿园教职工的专业素养和学历水平。鼓励和支持普惠性民办幼儿园开展常态化教科研和园本培训，科学合理安排幼儿一日生活，避免“小学化”倾向。</w:t>
      </w:r>
    </w:p>
    <w:p>
      <w:pPr>
        <w:pStyle w:val="8"/>
        <w:keepNext w:val="0"/>
        <w:keepLines w:val="0"/>
        <w:pageBreakBefore w:val="0"/>
        <w:widowControl w:val="0"/>
        <w:shd w:val="clear" w:color="auto" w:fill="auto"/>
        <w:tabs>
          <w:tab w:val="left" w:pos="1594"/>
        </w:tabs>
        <w:kinsoku/>
        <w:wordWrap/>
        <w:overflowPunct/>
        <w:topLinePunct w:val="0"/>
        <w:autoSpaceDE/>
        <w:autoSpaceDN/>
        <w:bidi w:val="0"/>
        <w:adjustRightInd/>
        <w:snapToGrid/>
        <w:spacing w:before="0" w:after="0" w:line="560" w:lineRule="exact"/>
        <w:ind w:left="0" w:right="0" w:firstLine="780"/>
        <w:jc w:val="both"/>
        <w:textAlignment w:val="auto"/>
        <w:rPr>
          <w:rFonts w:hint="eastAsia" w:ascii="楷体_GB2312" w:hAnsi="楷体_GB2312" w:eastAsia="楷体_GB2312" w:cs="楷体_GB2312"/>
          <w:sz w:val="32"/>
          <w:szCs w:val="32"/>
        </w:rPr>
      </w:pPr>
      <w:bookmarkStart w:id="8" w:name="bookmark19"/>
      <w:r>
        <w:rPr>
          <w:rFonts w:hint="eastAsia" w:ascii="楷体_GB2312" w:hAnsi="楷体_GB2312" w:eastAsia="楷体_GB2312" w:cs="楷体_GB2312"/>
          <w:color w:val="000000"/>
          <w:spacing w:val="0"/>
          <w:w w:val="100"/>
          <w:position w:val="0"/>
          <w:sz w:val="32"/>
          <w:szCs w:val="32"/>
        </w:rPr>
        <w:t>（</w:t>
      </w:r>
      <w:bookmarkEnd w:id="8"/>
      <w:r>
        <w:rPr>
          <w:rFonts w:hint="eastAsia" w:ascii="楷体_GB2312" w:hAnsi="楷体_GB2312" w:eastAsia="楷体_GB2312" w:cs="Times New Roman"/>
          <w:color w:val="000000"/>
          <w:spacing w:val="0"/>
          <w:w w:val="100"/>
          <w:position w:val="0"/>
          <w:sz w:val="32"/>
          <w:szCs w:val="32"/>
          <w:u w:val="none"/>
          <w:shd w:val="clear" w:color="auto" w:fill="auto"/>
          <w:lang w:val="en-US" w:eastAsia="zh-CN" w:bidi="en-US"/>
        </w:rPr>
        <w:t>五）建立以提升办园质量为导向的激励机制</w:t>
      </w:r>
    </w:p>
    <w:p>
      <w:pPr>
        <w:pStyle w:val="8"/>
        <w:keepNext w:val="0"/>
        <w:keepLines w:val="0"/>
        <w:pageBreakBefore w:val="0"/>
        <w:widowControl w:val="0"/>
        <w:shd w:val="clear" w:color="auto" w:fill="auto"/>
        <w:tabs>
          <w:tab w:val="left" w:pos="1594"/>
        </w:tabs>
        <w:kinsoku/>
        <w:wordWrap/>
        <w:overflowPunct/>
        <w:topLinePunct w:val="0"/>
        <w:autoSpaceDE/>
        <w:autoSpaceDN/>
        <w:bidi w:val="0"/>
        <w:adjustRightInd/>
        <w:snapToGrid/>
        <w:spacing w:before="0" w:after="0" w:line="560" w:lineRule="exact"/>
        <w:ind w:left="0" w:right="0" w:firstLine="780"/>
        <w:jc w:val="both"/>
        <w:textAlignment w:val="auto"/>
        <w:rPr>
          <w:rFonts w:hint="default" w:ascii="仿宋_GB2312" w:hAnsi="仿宋_GB2312" w:eastAsia="仿宋_GB2312"/>
          <w:sz w:val="32"/>
          <w:szCs w:val="32"/>
          <w:lang w:val="en-US"/>
        </w:rPr>
      </w:pPr>
      <w:r>
        <w:rPr>
          <w:rFonts w:hint="eastAsia" w:ascii="仿宋_GB2312" w:hAnsi="仿宋_GB2312" w:eastAsia="仿宋_GB2312" w:cs="仿宋_GB2312"/>
          <w:color w:val="000000"/>
          <w:spacing w:val="0"/>
          <w:w w:val="100"/>
          <w:position w:val="0"/>
          <w:sz w:val="32"/>
          <w:szCs w:val="32"/>
        </w:rPr>
        <w:t>结合年检、幼儿园办园行为督导评估和科学保教质量评价等工作，逐步开展体系化的普惠性民办幼儿园办园质量评价，建立以过程性评价为基础、办园质量提升为导向的激励机制。</w:t>
      </w:r>
      <w:r>
        <w:rPr>
          <w:rFonts w:hint="eastAsia" w:ascii="仿宋_GB2312" w:hAnsi="仿宋_GB2312" w:eastAsia="仿宋_GB2312" w:cs="仿宋_GB2312"/>
          <w:color w:val="000000"/>
          <w:spacing w:val="0"/>
          <w:w w:val="100"/>
          <w:position w:val="0"/>
          <w:sz w:val="32"/>
          <w:szCs w:val="32"/>
          <w:lang w:val="en-US" w:eastAsia="zh-CN"/>
        </w:rPr>
        <w:t>加大</w:t>
      </w:r>
      <w:r>
        <w:rPr>
          <w:rFonts w:hint="eastAsia" w:ascii="仿宋_GB2312" w:hAnsi="仿宋_GB2312" w:eastAsia="仿宋_GB2312" w:cs="仿宋_GB2312"/>
          <w:color w:val="000000"/>
          <w:spacing w:val="0"/>
          <w:w w:val="100"/>
          <w:position w:val="0"/>
          <w:sz w:val="32"/>
          <w:szCs w:val="32"/>
        </w:rPr>
        <w:t>对评估排名前列、办园质量高、特色明显、社会效益显著的普惠性民办幼儿园</w:t>
      </w:r>
      <w:r>
        <w:rPr>
          <w:rFonts w:hint="eastAsia" w:ascii="仿宋_GB2312" w:hAnsi="仿宋_GB2312" w:eastAsia="仿宋_GB2312" w:cs="仿宋_GB2312"/>
          <w:color w:val="000000"/>
          <w:spacing w:val="0"/>
          <w:w w:val="100"/>
          <w:position w:val="0"/>
          <w:sz w:val="32"/>
          <w:szCs w:val="32"/>
          <w:lang w:val="en-US" w:eastAsia="zh-CN"/>
        </w:rPr>
        <w:t>的激励支持力度</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通过向社会公布表彰、优先发放</w:t>
      </w:r>
      <w:r>
        <w:rPr>
          <w:rFonts w:hint="eastAsia" w:ascii="仿宋_GB2312" w:hAnsi="仿宋_GB2312" w:eastAsia="仿宋_GB2312"/>
          <w:sz w:val="32"/>
          <w:szCs w:val="32"/>
        </w:rPr>
        <w:t>各级财政支持民办幼儿园的专项发展奖补资金</w:t>
      </w:r>
      <w:r>
        <w:rPr>
          <w:rFonts w:hint="eastAsia" w:ascii="仿宋_GB2312" w:hAnsi="仿宋_GB2312" w:eastAsia="仿宋_GB2312"/>
          <w:sz w:val="32"/>
          <w:szCs w:val="32"/>
          <w:lang w:val="en-US" w:eastAsia="zh-CN"/>
        </w:rPr>
        <w:t>和评奖评先倾斜等多种方式，</w:t>
      </w:r>
      <w:r>
        <w:rPr>
          <w:rFonts w:hint="eastAsia" w:ascii="仿宋_GB2312" w:hAnsi="仿宋_GB2312" w:eastAsia="仿宋_GB2312"/>
          <w:sz w:val="32"/>
          <w:szCs w:val="32"/>
        </w:rPr>
        <w:t>激励支持普惠性民办幼儿园树立品牌意识，提升科学保教质量，提供普惠、安全、优质的学位资源。</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640" w:leftChars="0" w:right="0" w:rightChars="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val="en-US" w:eastAsia="zh-CN"/>
        </w:rPr>
        <w:t>三、</w:t>
      </w:r>
      <w:r>
        <w:rPr>
          <w:rFonts w:hint="eastAsia" w:ascii="黑体" w:hAnsi="黑体" w:eastAsia="黑体" w:cs="黑体"/>
          <w:color w:val="000000"/>
          <w:spacing w:val="0"/>
          <w:w w:val="100"/>
          <w:position w:val="0"/>
          <w:sz w:val="32"/>
          <w:szCs w:val="32"/>
        </w:rPr>
        <w:t>普惠性民办幼儿园的管理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Times New Roman"/>
          <w:color w:val="000000"/>
          <w:spacing w:val="0"/>
          <w:w w:val="100"/>
          <w:kern w:val="0"/>
          <w:position w:val="0"/>
          <w:sz w:val="32"/>
          <w:szCs w:val="32"/>
          <w:shd w:val="clear" w:color="auto" w:fill="auto"/>
          <w:lang w:val="en-US" w:eastAsia="zh-CN" w:bidi="en-US"/>
        </w:rPr>
      </w:pPr>
      <w:r>
        <w:rPr>
          <w:rFonts w:hint="eastAsia" w:ascii="楷体_GB2312" w:hAnsi="楷体_GB2312" w:eastAsia="楷体_GB2312" w:cs="Times New Roman"/>
          <w:color w:val="000000"/>
          <w:spacing w:val="0"/>
          <w:w w:val="100"/>
          <w:kern w:val="0"/>
          <w:position w:val="0"/>
          <w:sz w:val="32"/>
          <w:szCs w:val="32"/>
          <w:shd w:val="clear" w:color="auto" w:fill="auto"/>
          <w:lang w:val="en-US" w:eastAsia="zh-CN" w:bidi="en-US"/>
        </w:rPr>
        <w:t>（一）加强质量管理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宋体"/>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宋体"/>
          <w:color w:val="000000"/>
          <w:spacing w:val="0"/>
          <w:w w:val="100"/>
          <w:kern w:val="0"/>
          <w:position w:val="0"/>
          <w:sz w:val="32"/>
          <w:szCs w:val="32"/>
          <w:u w:val="none"/>
          <w:shd w:val="clear" w:color="auto" w:fill="auto"/>
          <w:lang w:val="en-US" w:eastAsia="zh-CN" w:bidi="zh-TW"/>
        </w:rPr>
        <w:t>　　建立和完善普惠性民办幼儿园督导评估体系和年检制度，加强对办学方向、办学行为、办学条件、保教质量和管理水平的有效监管，要加强对普惠性民办幼儿园保教活动的过程性指导和监测，督促普惠性民办幼儿园改善办园条件，提高办园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宋体"/>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宋体"/>
          <w:color w:val="000000"/>
          <w:spacing w:val="0"/>
          <w:w w:val="100"/>
          <w:kern w:val="0"/>
          <w:position w:val="0"/>
          <w:sz w:val="32"/>
          <w:szCs w:val="32"/>
          <w:u w:val="none"/>
          <w:shd w:val="clear" w:color="auto" w:fill="auto"/>
          <w:lang w:val="en-US" w:eastAsia="zh-CN" w:bidi="zh-TW"/>
        </w:rPr>
        <w:t>　　</w:t>
      </w:r>
      <w:r>
        <w:rPr>
          <w:rFonts w:hint="eastAsia" w:ascii="楷体_GB2312" w:hAnsi="楷体_GB2312" w:eastAsia="楷体_GB2312" w:cs="Times New Roman"/>
          <w:color w:val="000000"/>
          <w:spacing w:val="0"/>
          <w:w w:val="100"/>
          <w:kern w:val="0"/>
          <w:position w:val="0"/>
          <w:sz w:val="32"/>
          <w:szCs w:val="32"/>
          <w:shd w:val="clear" w:color="auto" w:fill="auto"/>
          <w:lang w:val="en-US" w:eastAsia="zh-CN" w:bidi="en-US"/>
        </w:rPr>
        <w:t>（二）加强教师管理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宋体"/>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宋体"/>
          <w:color w:val="000000"/>
          <w:spacing w:val="0"/>
          <w:w w:val="100"/>
          <w:kern w:val="0"/>
          <w:position w:val="0"/>
          <w:sz w:val="32"/>
          <w:szCs w:val="32"/>
          <w:u w:val="none"/>
          <w:shd w:val="clear" w:color="auto" w:fill="auto"/>
          <w:lang w:val="en-US" w:eastAsia="zh-CN" w:bidi="zh-TW"/>
        </w:rPr>
        <w:t>清城区教育局和幼儿园要建立和完善普惠性民办幼儿园教师管理制度，全面落实幼儿园教师持证上岗，规范教师从教行为。把师德考评摆在教师考核的首位，将教师思想政治素质和师德师风建设放在更加突出的位置，健全幼儿园教师违反师德行为的惩处机制。健全教师培训制度，为教师接受相应的思想政治培训和业务培训提供条件，提高教师职业素养，培养热爱幼教、热爱幼儿的职业情怀。各幼儿园应引导教师遵守《新时代幼儿园教师职业行为十项准则》，不得出现虐待、歧视、恐吓、猥亵、体罚和变相体罚、侮辱幼儿人格等损害幼儿身心健康的行为，对教师违反职业道德行为零容忍。各幼儿园要加强教师队伍待遇保障，提升教师队伍整体素质和稳定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宋体"/>
          <w:color w:val="000000"/>
          <w:spacing w:val="0"/>
          <w:w w:val="100"/>
          <w:kern w:val="0"/>
          <w:position w:val="0"/>
          <w:sz w:val="32"/>
          <w:szCs w:val="32"/>
          <w:u w:val="none"/>
          <w:shd w:val="clear" w:color="auto" w:fill="auto"/>
          <w:lang w:val="en-US" w:eastAsia="zh-CN" w:bidi="zh-TW"/>
        </w:rPr>
      </w:pPr>
      <w:r>
        <w:rPr>
          <w:rFonts w:hint="eastAsia" w:ascii="仿宋_GB2312" w:hAnsi="仿宋_GB2312" w:eastAsia="仿宋_GB2312" w:cs="宋体"/>
          <w:color w:val="000000"/>
          <w:spacing w:val="0"/>
          <w:w w:val="100"/>
          <w:kern w:val="0"/>
          <w:position w:val="0"/>
          <w:sz w:val="32"/>
          <w:szCs w:val="32"/>
          <w:u w:val="none"/>
          <w:shd w:val="clear" w:color="auto" w:fill="auto"/>
          <w:lang w:val="en-US" w:eastAsia="zh-CN" w:bidi="zh-TW"/>
        </w:rPr>
        <w:t>　</w:t>
      </w:r>
      <w:r>
        <w:rPr>
          <w:rFonts w:hint="eastAsia" w:ascii="楷体_GB2312" w:hAnsi="楷体_GB2312" w:eastAsia="楷体_GB2312" w:cs="Times New Roman"/>
          <w:color w:val="000000"/>
          <w:spacing w:val="0"/>
          <w:w w:val="100"/>
          <w:kern w:val="0"/>
          <w:position w:val="0"/>
          <w:sz w:val="32"/>
          <w:szCs w:val="32"/>
          <w:shd w:val="clear" w:color="auto" w:fill="auto"/>
          <w:lang w:val="en-US" w:eastAsia="zh-CN" w:bidi="en-US"/>
        </w:rPr>
        <w:t>　（三）加强收费管理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宋体"/>
          <w:color w:val="auto"/>
          <w:spacing w:val="0"/>
          <w:w w:val="100"/>
          <w:kern w:val="0"/>
          <w:position w:val="0"/>
          <w:sz w:val="32"/>
          <w:szCs w:val="32"/>
          <w:u w:val="none"/>
          <w:shd w:val="clear" w:color="auto" w:fill="auto"/>
          <w:lang w:val="en-US" w:eastAsia="zh-CN" w:bidi="zh-TW"/>
        </w:rPr>
      </w:pPr>
      <w:r>
        <w:rPr>
          <w:rFonts w:hint="eastAsia" w:ascii="微软雅黑" w:hAnsi="微软雅黑" w:eastAsia="微软雅黑" w:cs="微软雅黑"/>
          <w:i w:val="0"/>
          <w:iCs w:val="0"/>
          <w:caps w:val="0"/>
          <w:color w:val="424242"/>
          <w:spacing w:val="0"/>
          <w:sz w:val="24"/>
          <w:szCs w:val="24"/>
          <w:shd w:val="clear" w:fill="FFFFFF"/>
        </w:rPr>
        <w:t>　　</w:t>
      </w:r>
      <w:r>
        <w:rPr>
          <w:rFonts w:hint="eastAsia" w:ascii="微软雅黑" w:hAnsi="微软雅黑" w:eastAsia="微软雅黑" w:cs="微软雅黑"/>
          <w:i w:val="0"/>
          <w:iCs w:val="0"/>
          <w:caps w:val="0"/>
          <w:color w:val="0000FF"/>
          <w:spacing w:val="0"/>
          <w:sz w:val="24"/>
          <w:szCs w:val="24"/>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由</w:t>
      </w:r>
      <w:r>
        <w:rPr>
          <w:rFonts w:hint="eastAsia" w:ascii="仿宋_GB2312" w:hAnsi="仿宋_GB2312" w:eastAsia="仿宋_GB2312" w:cs="宋体"/>
          <w:color w:val="auto"/>
          <w:spacing w:val="0"/>
          <w:w w:val="100"/>
          <w:kern w:val="0"/>
          <w:position w:val="0"/>
          <w:sz w:val="32"/>
          <w:szCs w:val="32"/>
          <w:u w:val="none"/>
          <w:shd w:val="clear" w:color="auto" w:fill="auto"/>
          <w:lang w:val="en-US" w:eastAsia="zh-CN" w:bidi="zh-TW"/>
        </w:rPr>
        <w:t>清城区教育局牵头，会同财政、发展改革部门，统筹考虑公办幼儿园和普惠性民办幼儿园收费水平，结合幼儿园办园成本、办园质量、政府投入、当地经济发展水平、群众承受能力等，分层分类制定普惠性民办幼儿园保教费最高标准，作为普惠性民办幼儿园的认定条件。普惠性民办幼儿园保教费收费按照类别设置3类，</w:t>
      </w:r>
      <w:r>
        <w:rPr>
          <w:rFonts w:hint="eastAsia" w:ascii="仿宋_GB2312" w:hAnsi="仿宋_GB2312" w:eastAsia="仿宋_GB2312" w:cs="仿宋_GB2312"/>
          <w:color w:val="auto"/>
          <w:sz w:val="32"/>
          <w:szCs w:val="32"/>
        </w:rPr>
        <w:t>一类园保教费最高收费不得超过</w:t>
      </w:r>
      <w:r>
        <w:rPr>
          <w:rFonts w:hint="eastAsia" w:ascii="仿宋_GB2312" w:hAnsi="仿宋_GB2312" w:eastAsia="仿宋_GB2312" w:cs="仿宋_GB2312"/>
          <w:color w:val="auto"/>
          <w:sz w:val="32"/>
          <w:szCs w:val="32"/>
          <w:lang w:val="en-US" w:eastAsia="zh-CN"/>
        </w:rPr>
        <w:t>1050</w:t>
      </w:r>
      <w:r>
        <w:rPr>
          <w:rFonts w:hint="eastAsia" w:ascii="仿宋_GB2312" w:hAnsi="仿宋_GB2312" w:eastAsia="仿宋_GB2312" w:cs="仿宋_GB2312"/>
          <w:color w:val="auto"/>
          <w:sz w:val="32"/>
          <w:szCs w:val="32"/>
        </w:rPr>
        <w:t>元/月/人，二类园收取保教费最高收费不得超过</w:t>
      </w:r>
      <w:r>
        <w:rPr>
          <w:rFonts w:hint="eastAsia" w:ascii="仿宋_GB2312" w:hAnsi="仿宋_GB2312" w:eastAsia="仿宋_GB2312" w:cs="仿宋_GB2312"/>
          <w:color w:val="auto"/>
          <w:sz w:val="32"/>
          <w:szCs w:val="32"/>
          <w:lang w:val="en-US" w:eastAsia="zh-CN"/>
        </w:rPr>
        <w:t>950</w:t>
      </w:r>
      <w:r>
        <w:rPr>
          <w:rFonts w:hint="eastAsia" w:ascii="仿宋_GB2312" w:hAnsi="仿宋_GB2312" w:eastAsia="仿宋_GB2312" w:cs="仿宋_GB2312"/>
          <w:color w:val="auto"/>
          <w:sz w:val="32"/>
          <w:szCs w:val="32"/>
        </w:rPr>
        <w:t>元/月/人，三类园保教费最高收费不得超过</w:t>
      </w:r>
      <w:r>
        <w:rPr>
          <w:rFonts w:hint="eastAsia" w:ascii="仿宋_GB2312" w:hAnsi="仿宋_GB2312" w:eastAsia="仿宋_GB2312" w:cs="仿宋_GB2312"/>
          <w:color w:val="auto"/>
          <w:sz w:val="32"/>
          <w:szCs w:val="32"/>
          <w:lang w:val="en-US" w:eastAsia="zh-CN"/>
        </w:rPr>
        <w:t>850</w:t>
      </w:r>
      <w:r>
        <w:rPr>
          <w:rFonts w:hint="eastAsia" w:ascii="仿宋_GB2312" w:hAnsi="仿宋_GB2312" w:eastAsia="仿宋_GB2312" w:cs="仿宋_GB2312"/>
          <w:color w:val="auto"/>
          <w:sz w:val="32"/>
          <w:szCs w:val="32"/>
        </w:rPr>
        <w:t>元/月/人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未定类别园</w:t>
      </w:r>
      <w:r>
        <w:rPr>
          <w:rFonts w:hint="eastAsia" w:ascii="仿宋_GB2312" w:hAnsi="仿宋_GB2312" w:eastAsia="仿宋_GB2312" w:cs="仿宋_GB2312"/>
          <w:color w:val="auto"/>
          <w:sz w:val="32"/>
          <w:szCs w:val="32"/>
        </w:rPr>
        <w:t>保教费最高收费不得超过</w:t>
      </w:r>
      <w:r>
        <w:rPr>
          <w:rFonts w:hint="eastAsia" w:ascii="仿宋_GB2312" w:hAnsi="仿宋_GB2312" w:eastAsia="仿宋_GB2312" w:cs="仿宋_GB2312"/>
          <w:color w:val="auto"/>
          <w:sz w:val="32"/>
          <w:szCs w:val="32"/>
          <w:lang w:val="en-US" w:eastAsia="zh-CN"/>
        </w:rPr>
        <w:t>750</w:t>
      </w:r>
      <w:r>
        <w:rPr>
          <w:rFonts w:hint="eastAsia" w:ascii="仿宋_GB2312" w:hAnsi="仿宋_GB2312" w:eastAsia="仿宋_GB2312" w:cs="仿宋_GB2312"/>
          <w:color w:val="auto"/>
          <w:sz w:val="32"/>
          <w:szCs w:val="32"/>
        </w:rPr>
        <w:t>元/月/人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宋体"/>
          <w:color w:val="auto"/>
          <w:spacing w:val="0"/>
          <w:w w:val="100"/>
          <w:kern w:val="0"/>
          <w:position w:val="0"/>
          <w:sz w:val="32"/>
          <w:szCs w:val="32"/>
          <w:u w:val="none"/>
          <w:shd w:val="clear" w:color="auto" w:fill="auto"/>
          <w:lang w:val="en-US" w:eastAsia="zh-CN" w:bidi="zh-TW"/>
        </w:rPr>
        <w:t>在达到认定标准基础上，办园质量较优、群众满意度高、教师流动率低，且全园教师平均工资达到本地区政府部门举办的公办幼儿园教师平均工资水平的普惠性民办幼儿园，保教费收费最高标准方可设置为最高类别。普惠性民办幼儿园应在承诺书中，按照不超过同层同类保教费收费最高标准的要求明确具体收费标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宋体"/>
          <w:color w:val="auto"/>
          <w:spacing w:val="0"/>
          <w:w w:val="100"/>
          <w:kern w:val="0"/>
          <w:position w:val="0"/>
          <w:sz w:val="32"/>
          <w:szCs w:val="32"/>
          <w:u w:val="none"/>
          <w:shd w:val="clear" w:color="auto" w:fill="auto"/>
          <w:lang w:val="en-US" w:eastAsia="zh-CN" w:bidi="zh-TW"/>
        </w:rPr>
        <w:t>建立普惠性民办幼儿园收费标准动态调整机制，面向社会公开，接受社会监督。幼儿园保教费采取按学期收费，每个学期按5个月计算，</w:t>
      </w:r>
      <w:r>
        <w:rPr>
          <w:rFonts w:hint="eastAsia" w:ascii="仿宋_GB2312" w:hAnsi="仿宋_GB2312" w:eastAsia="仿宋_GB2312" w:cs="Times New Roman"/>
          <w:b w:val="0"/>
          <w:bCs w:val="0"/>
          <w:color w:val="auto"/>
          <w:kern w:val="2"/>
          <w:sz w:val="32"/>
          <w:szCs w:val="24"/>
          <w:lang w:val="en-US" w:eastAsia="zh-CN"/>
        </w:rPr>
        <w:t>实行“新生新办法、老生老办法”的原则，</w:t>
      </w:r>
      <w:r>
        <w:rPr>
          <w:rFonts w:hint="eastAsia" w:ascii="仿宋_GB2312" w:hAnsi="仿宋_GB2312" w:eastAsia="仿宋_GB2312" w:cs="仿宋_GB2312"/>
          <w:color w:val="auto"/>
          <w:sz w:val="32"/>
          <w:szCs w:val="32"/>
        </w:rPr>
        <w:t>保教费</w:t>
      </w:r>
      <w:r>
        <w:rPr>
          <w:rFonts w:hint="eastAsia" w:ascii="仿宋_GB2312" w:hAnsi="仿宋_GB2312" w:eastAsia="仿宋_GB2312"/>
          <w:color w:val="auto"/>
          <w:sz w:val="32"/>
          <w:szCs w:val="32"/>
          <w:lang w:val="en-US" w:eastAsia="zh-CN"/>
        </w:rPr>
        <w:t>每次上浮不超过20%，并</w:t>
      </w:r>
      <w:r>
        <w:rPr>
          <w:rFonts w:hint="eastAsia" w:ascii="仿宋_GB2312" w:hAnsi="仿宋_GB2312" w:eastAsia="仿宋_GB2312" w:cs="仿宋_GB2312"/>
          <w:color w:val="auto"/>
          <w:spacing w:val="0"/>
          <w:w w:val="100"/>
          <w:position w:val="0"/>
          <w:sz w:val="32"/>
          <w:szCs w:val="32"/>
          <w:lang w:val="en-US" w:eastAsia="zh-CN"/>
        </w:rPr>
        <w:t>在</w:t>
      </w:r>
      <w:r>
        <w:rPr>
          <w:rFonts w:hint="eastAsia" w:ascii="仿宋_GB2312" w:hAnsi="仿宋_GB2312" w:eastAsia="仿宋_GB2312"/>
          <w:color w:val="auto"/>
          <w:sz w:val="32"/>
          <w:szCs w:val="32"/>
        </w:rPr>
        <w:t>一定时期内（一个学年以上）保持稳定</w:t>
      </w:r>
      <w:r>
        <w:rPr>
          <w:rFonts w:hint="eastAsia" w:ascii="仿宋_GB2312" w:hAnsi="仿宋_GB2312" w:eastAsia="仿宋_GB2312" w:cs="宋体"/>
          <w:color w:val="auto"/>
          <w:spacing w:val="0"/>
          <w:w w:val="100"/>
          <w:kern w:val="0"/>
          <w:position w:val="0"/>
          <w:sz w:val="32"/>
          <w:szCs w:val="32"/>
          <w:u w:val="none"/>
          <w:shd w:val="clear" w:color="auto" w:fill="auto"/>
          <w:lang w:val="en-US" w:eastAsia="zh-CN" w:bidi="zh-TW"/>
        </w:rPr>
        <w:t>。幼儿园不得在幼儿注册前或跨学期预收保教费。幼儿因请假、转学、退学、插班等原因在一学期内累计在园时间不满10天（含10天，以工作日计算，下同）的，幼儿园按保教费缴费额的80%退还；超过10天但未满30天的，按保教费缴费额的50%退还；超过30天但不满50天的，按保教费缴费额的30%退还，超过50天的，不退还所缴保教费。因园方原因造成停课的，幼儿园应按实际天数退还保教费。服务性收费和代收费必须遵循家长自愿、据实结算、多退少补的原则，因幼儿保育教学及幼儿管理需要，所产生的暖气、空调、家长开放日、亲子活动、信息服务、课本（学习）资料等费用，从幼儿园经费中开支，不得设立收费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幼儿园应在显著位置通过设立公示栏、公示牌、公示墙等形式, 向社会公示收费项目、收费标准、收费金额、收费依据等相关内容。在招生简章或招生信息中, 写明幼儿园办园性质、办学条件、定价方式、收费项目、收费标准和对贫困子女的减免规定或者其他救助办法。幼儿园必须严格按照公示的收费标准实施收费。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宋体"/>
          <w:color w:val="auto"/>
          <w:spacing w:val="0"/>
          <w:w w:val="100"/>
          <w:kern w:val="0"/>
          <w:position w:val="0"/>
          <w:sz w:val="32"/>
          <w:szCs w:val="32"/>
          <w:u w:val="none"/>
          <w:shd w:val="clear" w:color="auto" w:fill="auto"/>
          <w:lang w:val="en-US" w:eastAsia="zh-CN" w:bidi="zh-TW"/>
        </w:rPr>
      </w:pPr>
      <w:r>
        <w:rPr>
          <w:rFonts w:hint="eastAsia" w:ascii="仿宋_GB2312" w:hAnsi="仿宋_GB2312" w:eastAsia="仿宋_GB2312" w:cs="宋体"/>
          <w:color w:val="auto"/>
          <w:spacing w:val="0"/>
          <w:w w:val="100"/>
          <w:kern w:val="0"/>
          <w:position w:val="0"/>
          <w:sz w:val="32"/>
          <w:szCs w:val="32"/>
          <w:u w:val="none"/>
          <w:shd w:val="clear" w:color="auto" w:fill="auto"/>
          <w:lang w:val="en-US" w:eastAsia="zh-CN" w:bidi="zh-TW"/>
        </w:rPr>
        <w:t>清城区教育局、清城区市场监督管理局、清城区发展和改革局要加强普惠性民办幼儿园收费监管，确保各项收费规范、公开、有据、合理。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楷体_GB2312" w:hAnsi="楷体_GB2312" w:eastAsia="楷体_GB2312" w:cs="Times New Roman"/>
          <w:color w:val="auto"/>
          <w:spacing w:val="0"/>
          <w:w w:val="100"/>
          <w:kern w:val="0"/>
          <w:position w:val="0"/>
          <w:sz w:val="32"/>
          <w:szCs w:val="32"/>
          <w:shd w:val="clear" w:color="auto" w:fill="auto"/>
          <w:lang w:val="en-US" w:eastAsia="zh-CN" w:bidi="en-US"/>
        </w:rPr>
        <w:t>（四）加强财务管理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pP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　　普惠性民办幼儿园收取费用、开展活动的资金往来，应当使用在清城区教育局备案的账户。普惠性民办幼儿园应当建立健全财务会计、资产管理和预决算制度，公开经费收支情况。在每个会计年度结束时，普惠性民办幼儿园应当委托会计师事务所对年度财务报告进行审计。清城区教育局和清城区财政局要健全资产财务监管机制，加强对奖补资金管理和使用的监督，提高资金使用效益，对虚报、冒领、挤占、挪用专项资金等行为，按照有关规定严肃处理。对存在财务管理混乱、挪用财政补助或抽逃资金问题的普惠性民办幼儿园，一经查实，停止享受政府的扶持政策，并在三年内不得再申报普惠性民办幼儿园；对挪用财政补助或抽逃资金的幼儿园举办者，取消其在本地区举办普惠性民办幼儿园的资格，并纳入个人诚信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pP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　　</w:t>
      </w:r>
      <w:r>
        <w:rPr>
          <w:rFonts w:hint="eastAsia" w:ascii="楷体_GB2312" w:hAnsi="楷体_GB2312" w:eastAsia="楷体_GB2312" w:cs="Times New Roman"/>
          <w:color w:val="auto"/>
          <w:spacing w:val="0"/>
          <w:w w:val="100"/>
          <w:kern w:val="0"/>
          <w:position w:val="0"/>
          <w:sz w:val="32"/>
          <w:szCs w:val="32"/>
          <w:shd w:val="clear" w:color="auto" w:fill="auto"/>
          <w:lang w:val="en-US" w:eastAsia="zh-CN" w:bidi="en-US"/>
        </w:rPr>
        <w:t>（五）加强社会监督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清城区教育局要建立健全普惠性民办幼儿园监管机制，创新监管方式，运用学前教育管理信息系统做好普惠性民办幼儿园的数据统计和信息监督管理工作。清城区教育局通过政府网站或其他宣传平台每年向社会公布普惠性民办幼儿园名单、收费标准和财政补助补贴情况等，开通举报电话接受家长和社会监督，并适时通过暗访、随机检查、调研、举报核查等措施对普惠性民办幼儿园进行监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黑体" w:hAnsi="黑体" w:eastAsia="黑体" w:cs="黑体"/>
          <w:color w:val="auto"/>
          <w:spacing w:val="0"/>
          <w:w w:val="100"/>
          <w:kern w:val="0"/>
          <w:position w:val="0"/>
          <w:sz w:val="32"/>
          <w:szCs w:val="32"/>
          <w:u w:val="none"/>
          <w:shd w:val="clear" w:color="auto" w:fill="auto"/>
          <w:lang w:val="zh-TW" w:eastAsia="zh-TW" w:bidi="zh-TW"/>
        </w:rPr>
        <w:t>四、工作要求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　（一）清城区教育局、清城区发展和改革局、清城区民政局、清城区财政局、清城区人力资源和社会保障局、清城区市场监督管理局要充分认识扶持和发展普惠性民办幼儿园，构建广覆盖、保基本、高质量的学前教育公共服务体系的重要性，结合各部门职能强化统筹、密切配合，落实普惠性民办幼儿园政策支持和保教帮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pP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　　（二）清城区教育局要会同清城区发展和改革局、清城区民政局、清城区财政局、清城区人力资源和社会保障局、清城区市场监督管理局健全普惠性民办幼儿园工作机制。要结合本地实际，研究确定普惠性民办幼儿园经费投入和扶持方式，采取有效的管理措施和工作方法落实国家、省和市发展普惠性民办幼儿园的工作要求，切实做好普惠性民办幼儿园的认定、扶持和管理工作，推动本地区普惠性民办幼儿园健康有序发展。</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黑体" w:hAnsi="黑体" w:eastAsia="黑体" w:cs="黑体"/>
          <w:color w:val="auto"/>
          <w:sz w:val="32"/>
          <w:szCs w:val="32"/>
        </w:rPr>
      </w:pPr>
      <w:r>
        <w:rPr>
          <w:rFonts w:hint="eastAsia" w:ascii="黑体" w:hAnsi="黑体" w:eastAsia="黑体" w:cs="黑体"/>
          <w:color w:val="auto"/>
          <w:spacing w:val="0"/>
          <w:w w:val="100"/>
          <w:position w:val="0"/>
          <w:sz w:val="32"/>
          <w:szCs w:val="32"/>
          <w:lang w:val="en-US" w:eastAsia="zh-CN"/>
        </w:rPr>
        <w:t>五</w:t>
      </w:r>
      <w:r>
        <w:rPr>
          <w:rFonts w:hint="eastAsia" w:ascii="黑体" w:hAnsi="黑体" w:eastAsia="黑体" w:cs="黑体"/>
          <w:color w:val="auto"/>
          <w:spacing w:val="0"/>
          <w:w w:val="100"/>
          <w:position w:val="0"/>
          <w:sz w:val="32"/>
          <w:szCs w:val="32"/>
        </w:rPr>
        <w:t>、附则</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eastAsia="仿宋_GB2312"/>
          <w:color w:val="auto"/>
          <w:lang w:eastAsia="zh-CN"/>
        </w:rPr>
      </w:pPr>
      <w:r>
        <w:rPr>
          <w:rFonts w:hint="eastAsia" w:ascii="仿宋_GB2312" w:hAnsi="仿宋_GB2312" w:eastAsia="仿宋_GB2312" w:cs="仿宋_GB2312"/>
          <w:color w:val="auto"/>
          <w:spacing w:val="0"/>
          <w:w w:val="100"/>
          <w:position w:val="0"/>
          <w:sz w:val="32"/>
          <w:szCs w:val="32"/>
        </w:rPr>
        <w:t>本</w:t>
      </w:r>
      <w:r>
        <w:rPr>
          <w:rFonts w:hint="eastAsia" w:ascii="仿宋_GB2312" w:hAnsi="仿宋_GB2312" w:eastAsia="仿宋_GB2312" w:cs="仿宋_GB2312"/>
          <w:color w:val="auto"/>
          <w:spacing w:val="0"/>
          <w:w w:val="100"/>
          <w:position w:val="0"/>
          <w:sz w:val="32"/>
          <w:szCs w:val="32"/>
          <w:lang w:val="en-US" w:eastAsia="zh-CN"/>
        </w:rPr>
        <w:t>细则</w:t>
      </w:r>
      <w:r>
        <w:rPr>
          <w:rFonts w:hint="eastAsia" w:ascii="仿宋_GB2312" w:hAnsi="仿宋_GB2312" w:eastAsia="仿宋_GB2312" w:cs="仿宋_GB2312"/>
          <w:color w:val="auto"/>
          <w:spacing w:val="0"/>
          <w:w w:val="100"/>
          <w:position w:val="0"/>
          <w:sz w:val="32"/>
          <w:szCs w:val="32"/>
        </w:rPr>
        <w:t>自</w:t>
      </w:r>
      <w:r>
        <w:rPr>
          <w:rFonts w:hint="eastAsia" w:ascii="仿宋_GB2312" w:hAnsi="仿宋_GB2312" w:eastAsia="仿宋_GB2312" w:cs="仿宋_GB2312"/>
          <w:color w:val="auto"/>
          <w:spacing w:val="0"/>
          <w:w w:val="100"/>
          <w:position w:val="0"/>
          <w:sz w:val="32"/>
          <w:szCs w:val="32"/>
          <w:lang w:val="en-US" w:eastAsia="zh-CN"/>
        </w:rPr>
        <w:t>发文之日</w:t>
      </w:r>
      <w:r>
        <w:rPr>
          <w:rFonts w:hint="eastAsia" w:ascii="仿宋_GB2312" w:hAnsi="仿宋_GB2312" w:eastAsia="仿宋_GB2312" w:cs="仿宋_GB2312"/>
          <w:color w:val="auto"/>
          <w:spacing w:val="0"/>
          <w:w w:val="100"/>
          <w:position w:val="0"/>
          <w:sz w:val="32"/>
          <w:szCs w:val="32"/>
        </w:rPr>
        <w:t>起施行，有效期为</w:t>
      </w:r>
      <w:r>
        <w:rPr>
          <w:rFonts w:hint="eastAsia" w:ascii="仿宋_GB2312" w:hAnsi="仿宋_GB2312" w:eastAsia="仿宋_GB2312" w:cs="仿宋_GB2312"/>
          <w:b/>
          <w:bCs/>
          <w:color w:val="auto"/>
          <w:spacing w:val="0"/>
          <w:w w:val="100"/>
          <w:position w:val="0"/>
          <w:sz w:val="32"/>
          <w:szCs w:val="32"/>
        </w:rPr>
        <w:t>5</w:t>
      </w:r>
      <w:r>
        <w:rPr>
          <w:rFonts w:hint="eastAsia" w:ascii="仿宋_GB2312" w:hAnsi="仿宋_GB2312" w:eastAsia="仿宋_GB2312" w:cs="仿宋_GB2312"/>
          <w:color w:val="auto"/>
          <w:spacing w:val="0"/>
          <w:w w:val="100"/>
          <w:position w:val="0"/>
          <w:sz w:val="32"/>
          <w:szCs w:val="32"/>
        </w:rPr>
        <w:t>年。本</w:t>
      </w:r>
      <w:r>
        <w:rPr>
          <w:rFonts w:hint="eastAsia" w:ascii="仿宋_GB2312" w:hAnsi="仿宋_GB2312" w:eastAsia="仿宋_GB2312" w:cs="仿宋_GB2312"/>
          <w:color w:val="auto"/>
          <w:spacing w:val="0"/>
          <w:w w:val="100"/>
          <w:position w:val="0"/>
          <w:sz w:val="32"/>
          <w:szCs w:val="32"/>
          <w:lang w:val="en-US" w:eastAsia="zh-CN"/>
        </w:rPr>
        <w:t>细则</w:t>
      </w:r>
      <w:r>
        <w:rPr>
          <w:rFonts w:hint="eastAsia" w:ascii="仿宋_GB2312" w:hAnsi="仿宋_GB2312" w:eastAsia="仿宋_GB2312" w:cs="仿宋_GB2312"/>
          <w:color w:val="auto"/>
          <w:spacing w:val="0"/>
          <w:w w:val="100"/>
          <w:position w:val="0"/>
          <w:sz w:val="32"/>
          <w:szCs w:val="32"/>
        </w:rPr>
        <w:t>由</w:t>
      </w:r>
      <w:r>
        <w:rPr>
          <w:rFonts w:hint="eastAsia" w:ascii="仿宋_GB2312" w:hAnsi="仿宋_GB2312" w:eastAsia="仿宋_GB2312" w:cs="仿宋_GB2312"/>
          <w:color w:val="auto"/>
          <w:spacing w:val="0"/>
          <w:w w:val="100"/>
          <w:position w:val="0"/>
          <w:sz w:val="32"/>
          <w:szCs w:val="32"/>
          <w:lang w:val="en-US" w:eastAsia="zh-CN"/>
        </w:rPr>
        <w:t>清城区教育局</w:t>
      </w:r>
      <w:r>
        <w:rPr>
          <w:rFonts w:hint="eastAsia" w:ascii="仿宋_GB2312" w:hAnsi="仿宋_GB2312" w:eastAsia="仿宋_GB2312" w:cs="仿宋_GB2312"/>
          <w:color w:val="auto"/>
          <w:spacing w:val="0"/>
          <w:w w:val="100"/>
          <w:position w:val="0"/>
          <w:sz w:val="32"/>
          <w:szCs w:val="32"/>
        </w:rPr>
        <w:t>会同</w:t>
      </w:r>
      <w:r>
        <w:rPr>
          <w:rFonts w:hint="eastAsia" w:ascii="仿宋_GB2312" w:hAnsi="仿宋_GB2312" w:eastAsia="仿宋_GB2312" w:cs="仿宋_GB2312"/>
          <w:color w:val="auto"/>
          <w:spacing w:val="0"/>
          <w:w w:val="100"/>
          <w:position w:val="0"/>
          <w:sz w:val="32"/>
          <w:szCs w:val="32"/>
          <w:lang w:val="en-US" w:eastAsia="zh-CN"/>
        </w:rPr>
        <w:t>清城区</w:t>
      </w:r>
      <w:r>
        <w:rPr>
          <w:rFonts w:hint="eastAsia" w:ascii="仿宋_GB2312" w:hAnsi="仿宋_GB2312" w:eastAsia="仿宋_GB2312" w:cs="仿宋_GB2312"/>
          <w:color w:val="auto"/>
          <w:spacing w:val="0"/>
          <w:w w:val="100"/>
          <w:position w:val="0"/>
          <w:sz w:val="32"/>
          <w:szCs w:val="32"/>
        </w:rPr>
        <w:t>发展</w:t>
      </w:r>
      <w:r>
        <w:rPr>
          <w:rFonts w:hint="eastAsia" w:ascii="仿宋_GB2312" w:hAnsi="仿宋_GB2312" w:eastAsia="仿宋_GB2312" w:cs="仿宋_GB2312"/>
          <w:color w:val="auto"/>
          <w:spacing w:val="0"/>
          <w:w w:val="100"/>
          <w:position w:val="0"/>
          <w:sz w:val="32"/>
          <w:szCs w:val="32"/>
          <w:lang w:val="en-US" w:eastAsia="zh-CN"/>
        </w:rPr>
        <w:t>和</w:t>
      </w:r>
      <w:r>
        <w:rPr>
          <w:rFonts w:hint="eastAsia" w:ascii="仿宋_GB2312" w:hAnsi="仿宋_GB2312" w:eastAsia="仿宋_GB2312" w:cs="仿宋_GB2312"/>
          <w:color w:val="auto"/>
          <w:spacing w:val="0"/>
          <w:w w:val="100"/>
          <w:position w:val="0"/>
          <w:sz w:val="32"/>
          <w:szCs w:val="32"/>
        </w:rPr>
        <w:t>改革</w:t>
      </w:r>
      <w:r>
        <w:rPr>
          <w:rFonts w:hint="eastAsia" w:ascii="仿宋_GB2312" w:hAnsi="仿宋_GB2312" w:eastAsia="仿宋_GB2312" w:cs="仿宋_GB2312"/>
          <w:color w:val="auto"/>
          <w:spacing w:val="0"/>
          <w:w w:val="100"/>
          <w:position w:val="0"/>
          <w:sz w:val="32"/>
          <w:szCs w:val="32"/>
          <w:lang w:val="en-US" w:eastAsia="zh-CN"/>
        </w:rPr>
        <w:t>局</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val="en-US" w:eastAsia="zh-CN"/>
        </w:rPr>
        <w:t>清城区</w:t>
      </w:r>
      <w:r>
        <w:rPr>
          <w:rFonts w:hint="eastAsia" w:ascii="仿宋_GB2312" w:hAnsi="仿宋_GB2312" w:eastAsia="仿宋_GB2312" w:cs="仿宋_GB2312"/>
          <w:color w:val="auto"/>
          <w:spacing w:val="0"/>
          <w:w w:val="100"/>
          <w:position w:val="0"/>
          <w:sz w:val="32"/>
          <w:szCs w:val="32"/>
        </w:rPr>
        <w:t>民政</w:t>
      </w:r>
      <w:r>
        <w:rPr>
          <w:rFonts w:hint="eastAsia" w:ascii="仿宋_GB2312" w:hAnsi="仿宋_GB2312" w:eastAsia="仿宋_GB2312" w:cs="仿宋_GB2312"/>
          <w:color w:val="auto"/>
          <w:spacing w:val="0"/>
          <w:w w:val="100"/>
          <w:position w:val="0"/>
          <w:sz w:val="32"/>
          <w:szCs w:val="32"/>
          <w:lang w:val="en-US" w:eastAsia="zh-CN"/>
        </w:rPr>
        <w:t>局</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val="en-US" w:eastAsia="zh-CN"/>
        </w:rPr>
        <w:t>清城区</w:t>
      </w:r>
      <w:r>
        <w:rPr>
          <w:rFonts w:hint="eastAsia" w:ascii="仿宋_GB2312" w:hAnsi="仿宋_GB2312" w:eastAsia="仿宋_GB2312" w:cs="仿宋_GB2312"/>
          <w:color w:val="auto"/>
          <w:spacing w:val="0"/>
          <w:w w:val="100"/>
          <w:position w:val="0"/>
          <w:sz w:val="32"/>
          <w:szCs w:val="32"/>
        </w:rPr>
        <w:t>财政</w:t>
      </w:r>
      <w:r>
        <w:rPr>
          <w:rFonts w:hint="eastAsia" w:ascii="仿宋_GB2312" w:hAnsi="仿宋_GB2312" w:eastAsia="仿宋_GB2312" w:cs="仿宋_GB2312"/>
          <w:color w:val="auto"/>
          <w:spacing w:val="0"/>
          <w:w w:val="100"/>
          <w:position w:val="0"/>
          <w:sz w:val="32"/>
          <w:szCs w:val="32"/>
          <w:lang w:val="en-US" w:eastAsia="zh-CN"/>
        </w:rPr>
        <w:t>局</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val="en-US" w:eastAsia="zh-CN"/>
        </w:rPr>
        <w:t>清城区</w:t>
      </w:r>
      <w:r>
        <w:rPr>
          <w:rFonts w:hint="eastAsia" w:ascii="仿宋_GB2312" w:hAnsi="仿宋_GB2312" w:eastAsia="仿宋_GB2312" w:cs="仿宋_GB2312"/>
          <w:color w:val="auto"/>
          <w:spacing w:val="0"/>
          <w:w w:val="100"/>
          <w:position w:val="0"/>
          <w:sz w:val="32"/>
          <w:szCs w:val="32"/>
        </w:rPr>
        <w:t>人力资源</w:t>
      </w:r>
      <w:r>
        <w:rPr>
          <w:rFonts w:hint="eastAsia" w:ascii="仿宋_GB2312" w:hAnsi="仿宋_GB2312" w:eastAsia="仿宋_GB2312" w:cs="仿宋_GB2312"/>
          <w:color w:val="auto"/>
          <w:spacing w:val="0"/>
          <w:w w:val="100"/>
          <w:position w:val="0"/>
          <w:sz w:val="32"/>
          <w:szCs w:val="32"/>
          <w:lang w:val="en-US" w:eastAsia="zh-CN"/>
        </w:rPr>
        <w:t>和</w:t>
      </w:r>
      <w:r>
        <w:rPr>
          <w:rFonts w:hint="eastAsia" w:ascii="仿宋_GB2312" w:hAnsi="仿宋_GB2312" w:eastAsia="仿宋_GB2312" w:cs="仿宋_GB2312"/>
          <w:color w:val="auto"/>
          <w:spacing w:val="0"/>
          <w:w w:val="100"/>
          <w:position w:val="0"/>
          <w:sz w:val="32"/>
          <w:szCs w:val="32"/>
        </w:rPr>
        <w:t>社会保障</w:t>
      </w:r>
      <w:r>
        <w:rPr>
          <w:rFonts w:hint="eastAsia" w:ascii="仿宋_GB2312" w:hAnsi="仿宋_GB2312" w:eastAsia="仿宋_GB2312" w:cs="仿宋_GB2312"/>
          <w:color w:val="auto"/>
          <w:spacing w:val="0"/>
          <w:w w:val="100"/>
          <w:position w:val="0"/>
          <w:sz w:val="32"/>
          <w:szCs w:val="32"/>
          <w:lang w:val="en-US" w:eastAsia="zh-CN"/>
        </w:rPr>
        <w:t>局、清城区</w:t>
      </w:r>
      <w:r>
        <w:rPr>
          <w:rFonts w:hint="eastAsia" w:ascii="仿宋_GB2312" w:hAnsi="仿宋_GB2312" w:eastAsia="仿宋_GB2312" w:cs="仿宋_GB2312"/>
          <w:color w:val="auto"/>
          <w:spacing w:val="0"/>
          <w:w w:val="100"/>
          <w:position w:val="0"/>
          <w:sz w:val="32"/>
          <w:szCs w:val="32"/>
        </w:rPr>
        <w:t>市场监</w:t>
      </w:r>
      <w:r>
        <w:rPr>
          <w:rFonts w:hint="eastAsia" w:ascii="仿宋_GB2312" w:hAnsi="仿宋_GB2312" w:eastAsia="仿宋_GB2312" w:cs="仿宋_GB2312"/>
          <w:color w:val="auto"/>
          <w:spacing w:val="0"/>
          <w:w w:val="100"/>
          <w:position w:val="0"/>
          <w:sz w:val="32"/>
          <w:szCs w:val="32"/>
          <w:lang w:val="en-US" w:eastAsia="zh-CN"/>
        </w:rPr>
        <w:t>督</w:t>
      </w:r>
      <w:r>
        <w:rPr>
          <w:rFonts w:hint="eastAsia" w:ascii="仿宋_GB2312" w:hAnsi="仿宋_GB2312" w:eastAsia="仿宋_GB2312" w:cs="仿宋_GB2312"/>
          <w:color w:val="auto"/>
          <w:spacing w:val="0"/>
          <w:w w:val="100"/>
          <w:position w:val="0"/>
          <w:sz w:val="32"/>
          <w:szCs w:val="32"/>
        </w:rPr>
        <w:t>管</w:t>
      </w:r>
      <w:r>
        <w:rPr>
          <w:rFonts w:hint="eastAsia" w:ascii="仿宋_GB2312" w:hAnsi="仿宋_GB2312" w:eastAsia="仿宋_GB2312" w:cs="仿宋_GB2312"/>
          <w:color w:val="auto"/>
          <w:spacing w:val="0"/>
          <w:w w:val="100"/>
          <w:position w:val="0"/>
          <w:sz w:val="32"/>
          <w:szCs w:val="32"/>
          <w:lang w:val="en-US" w:eastAsia="zh-CN"/>
        </w:rPr>
        <w:t>理</w:t>
      </w:r>
      <w:r>
        <w:rPr>
          <w:rFonts w:hint="eastAsia" w:ascii="仿宋_GB2312" w:hAnsi="仿宋_GB2312" w:eastAsia="仿宋_GB2312" w:cs="仿宋_GB2312"/>
          <w:color w:val="auto"/>
          <w:spacing w:val="0"/>
          <w:w w:val="100"/>
          <w:position w:val="0"/>
          <w:sz w:val="32"/>
          <w:szCs w:val="32"/>
        </w:rPr>
        <w:t>局解释</w:t>
      </w:r>
      <w:r>
        <w:rPr>
          <w:rFonts w:hint="eastAsia" w:ascii="仿宋_GB2312" w:hAnsi="仿宋_GB2312" w:eastAsia="仿宋_GB2312" w:cs="仿宋_GB2312"/>
          <w:color w:val="auto"/>
          <w:spacing w:val="0"/>
          <w:w w:val="100"/>
          <w:position w:val="0"/>
          <w:sz w:val="32"/>
          <w:szCs w:val="32"/>
          <w:lang w:eastAsia="zh-CN"/>
        </w:rPr>
        <w:t>。</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1FD25"/>
    <w:multiLevelType w:val="singleLevel"/>
    <w:tmpl w:val="ED01FD2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929F2"/>
    <w:rsid w:val="041929F2"/>
    <w:rsid w:val="0DB83A44"/>
    <w:rsid w:val="15D31313"/>
    <w:rsid w:val="241D566F"/>
    <w:rsid w:val="26360F5D"/>
    <w:rsid w:val="2E541209"/>
    <w:rsid w:val="3D464A26"/>
    <w:rsid w:val="411F786D"/>
    <w:rsid w:val="50CB5F7F"/>
    <w:rsid w:val="60B3139A"/>
    <w:rsid w:val="6C3066E5"/>
    <w:rsid w:val="70371C79"/>
    <w:rsid w:val="71BC0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Body text|3"/>
    <w:basedOn w:val="1"/>
    <w:qFormat/>
    <w:uiPriority w:val="0"/>
    <w:pPr>
      <w:widowControl w:val="0"/>
      <w:shd w:val="clear" w:color="auto" w:fill="auto"/>
      <w:spacing w:after="560" w:line="742" w:lineRule="exact"/>
      <w:jc w:val="center"/>
    </w:pPr>
    <w:rPr>
      <w:rFonts w:ascii="宋体" w:hAnsi="宋体" w:eastAsia="宋体" w:cs="宋体"/>
      <w:sz w:val="42"/>
      <w:szCs w:val="42"/>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after="280" w:line="39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2022-10-24T08:16:00Z</dcterms:created>
  <dc:creator>黄丽梅</dc:creator>
  <cp:lastModifiedBy>黄丽梅</cp:lastModifiedBy>
  <cp:lastPrinted>2022-10-25T03:39:00Z</cp:lastPrinted>
  <dcterms:modified xsi:type="dcterms:W3CDTF">2022-10-31T01:39:47Z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