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tabs>
          <w:tab w:val="right" w:leader="dot" w:pos="8306"/>
        </w:tabs>
        <w:ind w:left="0" w:leftChars="0" w:firstLine="0" w:firstLineChars="0"/>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bookmarkStart w:id="799" w:name="_GoBack"/>
      <w:bookmarkEnd w:id="799"/>
    </w:p>
    <w:p>
      <w:pPr>
        <w:spacing w:line="360" w:lineRule="auto"/>
        <w:jc w:val="center"/>
        <w:rPr>
          <w:rFonts w:hint="eastAsia" w:ascii="方正小标宋_GBK" w:hAnsi="方正小标宋_GBK" w:eastAsia="方正小标宋_GBK" w:cs="方正小标宋_GBK"/>
          <w:b w:val="0"/>
          <w:bCs w:val="0"/>
          <w:sz w:val="72"/>
          <w:szCs w:val="72"/>
          <w:lang w:eastAsia="zh-CN"/>
        </w:rPr>
      </w:pPr>
      <w:r>
        <w:rPr>
          <w:rFonts w:hint="eastAsia" w:ascii="方正小标宋_GBK" w:hAnsi="方正小标宋_GBK" w:eastAsia="方正小标宋_GBK" w:cs="方正小标宋_GBK"/>
          <w:b w:val="0"/>
          <w:bCs w:val="0"/>
          <w:sz w:val="72"/>
          <w:szCs w:val="72"/>
          <w:lang w:eastAsia="zh-CN"/>
        </w:rPr>
        <w:t>清远市清城区突发地质</w:t>
      </w:r>
    </w:p>
    <w:p>
      <w:pPr>
        <w:spacing w:line="360" w:lineRule="auto"/>
        <w:jc w:val="center"/>
        <w:rPr>
          <w:rFonts w:hint="eastAsia" w:ascii="宋体" w:hAnsi="宋体" w:eastAsia="宋体" w:cs="宋体"/>
          <w:b/>
          <w:bCs/>
          <w:sz w:val="72"/>
          <w:szCs w:val="72"/>
          <w:lang w:val="en-US" w:eastAsia="zh-CN"/>
        </w:rPr>
      </w:pPr>
      <w:r>
        <w:rPr>
          <w:rFonts w:hint="eastAsia" w:ascii="方正小标宋_GBK" w:hAnsi="方正小标宋_GBK" w:eastAsia="方正小标宋_GBK" w:cs="方正小标宋_GBK"/>
          <w:b w:val="0"/>
          <w:bCs w:val="0"/>
          <w:sz w:val="72"/>
          <w:szCs w:val="72"/>
          <w:lang w:eastAsia="zh-CN"/>
        </w:rPr>
        <w:t>灾害应急预案</w:t>
      </w:r>
    </w:p>
    <w:p>
      <w:pPr>
        <w:spacing w:line="360" w:lineRule="auto"/>
        <w:jc w:val="center"/>
        <w:rPr>
          <w:rFonts w:hint="eastAsia" w:ascii="Times New Roman" w:hAnsi="Times New Roman" w:eastAsia="宋体" w:cs="Times New Roman"/>
          <w:b/>
          <w:bCs/>
          <w:sz w:val="72"/>
          <w:szCs w:val="72"/>
          <w:lang w:val="en-US" w:eastAsia="zh-CN"/>
        </w:rPr>
      </w:pPr>
    </w:p>
    <w:p>
      <w:pPr>
        <w:pStyle w:val="2"/>
        <w:rPr>
          <w:rFonts w:hint="eastAsia" w:ascii="Times New Roman" w:hAnsi="Times New Roman" w:eastAsia="宋体" w:cs="Times New Roman"/>
          <w:b/>
          <w:bCs/>
          <w:sz w:val="72"/>
          <w:szCs w:val="72"/>
          <w:lang w:val="en-US" w:eastAsia="zh-CN"/>
        </w:rPr>
      </w:pPr>
    </w:p>
    <w:p>
      <w:pPr>
        <w:pStyle w:val="2"/>
        <w:rPr>
          <w:rFonts w:hint="eastAsia" w:ascii="Times New Roman" w:hAnsi="Times New Roman" w:eastAsia="宋体" w:cs="Times New Roman"/>
          <w:b/>
          <w:bCs/>
          <w:sz w:val="72"/>
          <w:szCs w:val="72"/>
          <w:lang w:val="en-US" w:eastAsia="zh-CN"/>
        </w:rPr>
      </w:pPr>
    </w:p>
    <w:p>
      <w:pPr>
        <w:pStyle w:val="2"/>
        <w:rPr>
          <w:rFonts w:hint="eastAsia" w:ascii="Times New Roman" w:hAnsi="Times New Roman" w:eastAsia="宋体" w:cs="Times New Roman"/>
          <w:b/>
          <w:bCs/>
          <w:sz w:val="72"/>
          <w:szCs w:val="72"/>
          <w:lang w:val="en-US" w:eastAsia="zh-CN"/>
        </w:rPr>
      </w:pPr>
    </w:p>
    <w:p>
      <w:pPr>
        <w:pStyle w:val="2"/>
        <w:rPr>
          <w:rFonts w:hint="eastAsia" w:ascii="Times New Roman" w:hAnsi="Times New Roman" w:eastAsia="宋体" w:cs="Times New Roman"/>
          <w:b/>
          <w:bCs/>
          <w:sz w:val="72"/>
          <w:szCs w:val="72"/>
          <w:lang w:val="en-US" w:eastAsia="zh-CN"/>
        </w:rPr>
      </w:pPr>
    </w:p>
    <w:p>
      <w:pPr>
        <w:pStyle w:val="2"/>
        <w:rPr>
          <w:rFonts w:hint="eastAsia" w:ascii="Times New Roman" w:hAnsi="Times New Roman" w:eastAsia="宋体" w:cs="Times New Roman"/>
          <w:b/>
          <w:bCs/>
          <w:sz w:val="36"/>
          <w:szCs w:val="36"/>
          <w:lang w:val="en-US" w:eastAsia="zh-CN"/>
        </w:rPr>
      </w:pPr>
    </w:p>
    <w:p>
      <w:pPr>
        <w:pStyle w:val="2"/>
        <w:rPr>
          <w:rFonts w:hint="eastAsia" w:ascii="Times New Roman" w:hAnsi="Times New Roman" w:eastAsia="宋体" w:cs="Times New Roman"/>
          <w:b/>
          <w:bCs/>
          <w:sz w:val="36"/>
          <w:szCs w:val="36"/>
          <w:lang w:val="en-US" w:eastAsia="zh-CN"/>
        </w:rPr>
      </w:pPr>
    </w:p>
    <w:p>
      <w:pPr>
        <w:pStyle w:val="2"/>
        <w:rPr>
          <w:rFonts w:hint="eastAsia" w:ascii="Times New Roman" w:hAnsi="Times New Roman" w:eastAsia="宋体" w:cs="Times New Roman"/>
          <w:b/>
          <w:bCs/>
          <w:sz w:val="36"/>
          <w:szCs w:val="36"/>
          <w:lang w:val="en-US" w:eastAsia="zh-CN"/>
        </w:rPr>
      </w:pPr>
    </w:p>
    <w:p>
      <w:pPr>
        <w:pStyle w:val="2"/>
        <w:rPr>
          <w:rFonts w:hint="eastAsia" w:ascii="Times New Roman" w:hAnsi="Times New Roman" w:eastAsia="宋体" w:cs="Times New Roman"/>
          <w:b/>
          <w:bCs/>
          <w:sz w:val="36"/>
          <w:szCs w:val="36"/>
          <w:lang w:val="en-US" w:eastAsia="zh-CN"/>
        </w:rPr>
      </w:pPr>
    </w:p>
    <w:p>
      <w:pPr>
        <w:tabs>
          <w:tab w:val="left" w:pos="1033"/>
        </w:tabs>
        <w:spacing w:before="120" w:after="156" w:afterLines="50"/>
        <w:ind w:left="318"/>
        <w:jc w:val="center"/>
        <w:rPr>
          <w:rFonts w:ascii="Times New Roman" w:hAnsi="Times New Roman" w:eastAsia="宋体" w:cs="Times New Roman"/>
          <w:b/>
          <w:sz w:val="48"/>
          <w:szCs w:val="36"/>
          <w:lang w:eastAsia="zh-CN"/>
        </w:rPr>
        <w:sectPr>
          <w:footerReference r:id="rId3" w:type="default"/>
          <w:pgSz w:w="11906" w:h="16838"/>
          <w:pgMar w:top="1440" w:right="1800" w:bottom="1440" w:left="1800" w:header="851" w:footer="992" w:gutter="0"/>
          <w:pgNumType w:fmt="numberInDash" w:start="1"/>
          <w:cols w:space="720" w:num="1"/>
          <w:docGrid w:type="lines" w:linePitch="312" w:charSpace="0"/>
        </w:sectPr>
      </w:pPr>
    </w:p>
    <w:p>
      <w:pPr>
        <w:pStyle w:val="13"/>
        <w:tabs>
          <w:tab w:val="right" w:leader="dot" w:pos="8306"/>
        </w:tabs>
        <w:ind w:left="0" w:leftChars="0" w:firstLine="0" w:firstLineChars="0"/>
        <w:jc w:val="center"/>
        <w:outlineLvl w:val="9"/>
        <w:rPr>
          <w:rFonts w:hint="eastAsia" w:ascii="宋体" w:hAnsi="宋体" w:eastAsia="宋体" w:cs="宋体"/>
          <w:sz w:val="52"/>
          <w:szCs w:val="52"/>
          <w:lang w:eastAsia="zh-CN"/>
        </w:rPr>
      </w:pPr>
      <w:r>
        <w:rPr>
          <w:rFonts w:hint="eastAsia" w:ascii="黑体" w:hAnsi="黑体" w:eastAsia="黑体" w:cs="黑体"/>
          <w:b/>
          <w:bCs/>
          <w:sz w:val="44"/>
          <w:szCs w:val="44"/>
          <w:lang w:val="en-US" w:eastAsia="zh-CN"/>
        </w:rPr>
        <w:t>目录</w:t>
      </w:r>
    </w:p>
    <w:p>
      <w:pPr>
        <w:pStyle w:val="12"/>
        <w:tabs>
          <w:tab w:val="right" w:leader="dot" w:pos="8306"/>
        </w:tabs>
        <w:rPr>
          <w:rFonts w:hint="eastAsia" w:ascii="楷体" w:hAnsi="楷体" w:eastAsia="楷体" w:cs="楷体"/>
          <w:sz w:val="24"/>
          <w:szCs w:val="24"/>
        </w:rPr>
      </w:pPr>
      <w:r>
        <w:rPr>
          <w:rFonts w:hint="eastAsia" w:ascii="宋体" w:hAnsi="宋体" w:eastAsia="宋体" w:cs="宋体"/>
          <w:sz w:val="52"/>
          <w:szCs w:val="52"/>
          <w:lang w:eastAsia="zh-CN"/>
        </w:rPr>
        <w:fldChar w:fldCharType="begin"/>
      </w:r>
      <w:r>
        <w:rPr>
          <w:rFonts w:hint="eastAsia" w:ascii="宋体" w:hAnsi="宋体" w:eastAsia="宋体" w:cs="宋体"/>
          <w:sz w:val="52"/>
          <w:szCs w:val="52"/>
          <w:lang w:eastAsia="zh-CN"/>
        </w:rPr>
        <w:instrText xml:space="preserve">TOC \o "1-3" \h \u </w:instrText>
      </w:r>
      <w:r>
        <w:rPr>
          <w:rFonts w:hint="eastAsia" w:ascii="宋体" w:hAnsi="宋体" w:eastAsia="宋体" w:cs="宋体"/>
          <w:sz w:val="52"/>
          <w:szCs w:val="52"/>
          <w:lang w:eastAsia="zh-CN"/>
        </w:rPr>
        <w:fldChar w:fldCharType="separate"/>
      </w: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_Toc31222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1</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总则</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_Toc31222 \h </w:instrText>
      </w:r>
      <w:r>
        <w:rPr>
          <w:rFonts w:hint="eastAsia" w:ascii="楷体" w:hAnsi="楷体" w:eastAsia="楷体" w:cs="楷体"/>
          <w:sz w:val="24"/>
          <w:szCs w:val="24"/>
        </w:rPr>
        <w:fldChar w:fldCharType="separate"/>
      </w:r>
      <w:r>
        <w:rPr>
          <w:rFonts w:hint="eastAsia" w:ascii="楷体" w:hAnsi="楷体" w:eastAsia="楷体" w:cs="楷体"/>
          <w:sz w:val="24"/>
          <w:szCs w:val="24"/>
        </w:rPr>
        <w:t>- 1 -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_Toc1763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1.1</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指导思想</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_Toc1763 \h </w:instrText>
      </w:r>
      <w:r>
        <w:rPr>
          <w:rFonts w:hint="eastAsia" w:ascii="楷体" w:hAnsi="楷体" w:eastAsia="楷体" w:cs="楷体"/>
          <w:sz w:val="24"/>
          <w:szCs w:val="24"/>
        </w:rPr>
        <w:fldChar w:fldCharType="separate"/>
      </w:r>
      <w:r>
        <w:rPr>
          <w:rFonts w:hint="eastAsia" w:ascii="楷体" w:hAnsi="楷体" w:eastAsia="楷体" w:cs="楷体"/>
          <w:sz w:val="24"/>
          <w:szCs w:val="24"/>
        </w:rPr>
        <w:t>- 1 -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_Toc9952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1.2</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编制依据</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_Toc9952 \h </w:instrText>
      </w:r>
      <w:r>
        <w:rPr>
          <w:rFonts w:hint="eastAsia" w:ascii="楷体" w:hAnsi="楷体" w:eastAsia="楷体" w:cs="楷体"/>
          <w:sz w:val="24"/>
          <w:szCs w:val="24"/>
        </w:rPr>
        <w:fldChar w:fldCharType="separate"/>
      </w:r>
      <w:r>
        <w:rPr>
          <w:rFonts w:hint="eastAsia" w:ascii="楷体" w:hAnsi="楷体" w:eastAsia="楷体" w:cs="楷体"/>
          <w:sz w:val="24"/>
          <w:szCs w:val="24"/>
        </w:rPr>
        <w:t>- 1 -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_Toc12687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1.3</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适用范围</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_Toc12687 \h </w:instrText>
      </w:r>
      <w:r>
        <w:rPr>
          <w:rFonts w:hint="eastAsia" w:ascii="楷体" w:hAnsi="楷体" w:eastAsia="楷体" w:cs="楷体"/>
          <w:sz w:val="24"/>
          <w:szCs w:val="24"/>
        </w:rPr>
        <w:fldChar w:fldCharType="separate"/>
      </w:r>
      <w:r>
        <w:rPr>
          <w:rFonts w:hint="eastAsia" w:ascii="楷体" w:hAnsi="楷体" w:eastAsia="楷体" w:cs="楷体"/>
          <w:sz w:val="24"/>
          <w:szCs w:val="24"/>
        </w:rPr>
        <w:t>- 1 -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_Toc21694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1.4</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工作原则</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_Toc21694 \h </w:instrText>
      </w:r>
      <w:r>
        <w:rPr>
          <w:rFonts w:hint="eastAsia" w:ascii="楷体" w:hAnsi="楷体" w:eastAsia="楷体" w:cs="楷体"/>
          <w:sz w:val="24"/>
          <w:szCs w:val="24"/>
        </w:rPr>
        <w:fldChar w:fldCharType="separate"/>
      </w:r>
      <w:r>
        <w:rPr>
          <w:rFonts w:hint="eastAsia" w:ascii="楷体" w:hAnsi="楷体" w:eastAsia="楷体" w:cs="楷体"/>
          <w:sz w:val="24"/>
          <w:szCs w:val="24"/>
        </w:rPr>
        <w:t>- 2 -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2"/>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_Toc22511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2</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组织体系</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_Toc22511 \h </w:instrText>
      </w:r>
      <w:r>
        <w:rPr>
          <w:rFonts w:hint="eastAsia" w:ascii="楷体" w:hAnsi="楷体" w:eastAsia="楷体" w:cs="楷体"/>
          <w:sz w:val="24"/>
          <w:szCs w:val="24"/>
        </w:rPr>
        <w:fldChar w:fldCharType="separate"/>
      </w:r>
      <w:r>
        <w:rPr>
          <w:rFonts w:hint="eastAsia" w:ascii="楷体" w:hAnsi="楷体" w:eastAsia="楷体" w:cs="楷体"/>
          <w:sz w:val="24"/>
          <w:szCs w:val="24"/>
        </w:rPr>
        <w:t>- 3 -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_Toc9422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2.1</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区突发地质灾害应急指挥机构</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_Toc9422 \h </w:instrText>
      </w:r>
      <w:r>
        <w:rPr>
          <w:rFonts w:hint="eastAsia" w:ascii="楷体" w:hAnsi="楷体" w:eastAsia="楷体" w:cs="楷体"/>
          <w:sz w:val="24"/>
          <w:szCs w:val="24"/>
        </w:rPr>
        <w:fldChar w:fldCharType="separate"/>
      </w:r>
      <w:r>
        <w:rPr>
          <w:rFonts w:hint="eastAsia" w:ascii="楷体" w:hAnsi="楷体" w:eastAsia="楷体" w:cs="楷体"/>
          <w:sz w:val="24"/>
          <w:szCs w:val="24"/>
        </w:rPr>
        <w:t>- 3 -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_Toc9421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2.2</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区突发地质灾害应急指挥部办公室</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_Toc9421 \h </w:instrText>
      </w:r>
      <w:r>
        <w:rPr>
          <w:rFonts w:hint="eastAsia" w:ascii="楷体" w:hAnsi="楷体" w:eastAsia="楷体" w:cs="楷体"/>
          <w:sz w:val="24"/>
          <w:szCs w:val="24"/>
        </w:rPr>
        <w:fldChar w:fldCharType="separate"/>
      </w:r>
      <w:r>
        <w:rPr>
          <w:rFonts w:hint="eastAsia" w:ascii="楷体" w:hAnsi="楷体" w:eastAsia="楷体" w:cs="楷体"/>
          <w:sz w:val="24"/>
          <w:szCs w:val="24"/>
        </w:rPr>
        <w:t>- 4 -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_Toc29486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2.3</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镇（街道）地质灾害应急指挥机构</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_Toc29486 \h </w:instrText>
      </w:r>
      <w:r>
        <w:rPr>
          <w:rFonts w:hint="eastAsia" w:ascii="楷体" w:hAnsi="楷体" w:eastAsia="楷体" w:cs="楷体"/>
          <w:sz w:val="24"/>
          <w:szCs w:val="24"/>
        </w:rPr>
        <w:fldChar w:fldCharType="separate"/>
      </w:r>
      <w:r>
        <w:rPr>
          <w:rFonts w:hint="eastAsia" w:ascii="楷体" w:hAnsi="楷体" w:eastAsia="楷体" w:cs="楷体"/>
          <w:sz w:val="24"/>
          <w:szCs w:val="24"/>
        </w:rPr>
        <w:t>- 5 -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2"/>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_Toc22108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3</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运行机制</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_Toc22108 \h </w:instrText>
      </w:r>
      <w:r>
        <w:rPr>
          <w:rFonts w:hint="eastAsia" w:ascii="楷体" w:hAnsi="楷体" w:eastAsia="楷体" w:cs="楷体"/>
          <w:sz w:val="24"/>
          <w:szCs w:val="24"/>
        </w:rPr>
        <w:fldChar w:fldCharType="separate"/>
      </w:r>
      <w:r>
        <w:rPr>
          <w:rFonts w:hint="eastAsia" w:ascii="楷体" w:hAnsi="楷体" w:eastAsia="楷体" w:cs="楷体"/>
          <w:sz w:val="24"/>
          <w:szCs w:val="24"/>
        </w:rPr>
        <w:t>- 5 -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_Toc21903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val="en-US" w:eastAsia="zh-CN"/>
        </w:rPr>
        <w:t>3.</w:t>
      </w:r>
      <w:r>
        <w:rPr>
          <w:rFonts w:hint="eastAsia" w:ascii="楷体" w:hAnsi="楷体" w:eastAsia="楷体" w:cs="楷体"/>
          <w:sz w:val="24"/>
          <w:szCs w:val="24"/>
          <w:lang w:eastAsia="zh-CN"/>
        </w:rPr>
        <w:t>1</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预防</w:t>
      </w:r>
      <w:r>
        <w:rPr>
          <w:rFonts w:hint="eastAsia" w:ascii="楷体" w:hAnsi="楷体" w:eastAsia="楷体" w:cs="楷体"/>
          <w:sz w:val="24"/>
          <w:szCs w:val="24"/>
          <w:lang w:val="en-US" w:eastAsia="zh-CN"/>
        </w:rPr>
        <w:t>监测评估</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_Toc21903 \h </w:instrText>
      </w:r>
      <w:r>
        <w:rPr>
          <w:rFonts w:hint="eastAsia" w:ascii="楷体" w:hAnsi="楷体" w:eastAsia="楷体" w:cs="楷体"/>
          <w:sz w:val="24"/>
          <w:szCs w:val="24"/>
        </w:rPr>
        <w:fldChar w:fldCharType="separate"/>
      </w:r>
      <w:r>
        <w:rPr>
          <w:rFonts w:hint="eastAsia" w:ascii="楷体" w:hAnsi="楷体" w:eastAsia="楷体" w:cs="楷体"/>
          <w:sz w:val="24"/>
          <w:szCs w:val="24"/>
        </w:rPr>
        <w:t>- 5 -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_Toc25264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3.1.1</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预防</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_Toc25264 \h </w:instrText>
      </w:r>
      <w:r>
        <w:rPr>
          <w:rFonts w:hint="eastAsia" w:ascii="楷体" w:hAnsi="楷体" w:eastAsia="楷体" w:cs="楷体"/>
          <w:sz w:val="24"/>
          <w:szCs w:val="24"/>
        </w:rPr>
        <w:fldChar w:fldCharType="separate"/>
      </w:r>
      <w:r>
        <w:rPr>
          <w:rFonts w:hint="eastAsia" w:ascii="楷体" w:hAnsi="楷体" w:eastAsia="楷体" w:cs="楷体"/>
          <w:sz w:val="24"/>
          <w:szCs w:val="24"/>
        </w:rPr>
        <w:t>- 5 -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_Toc19535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3.1.2</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监测</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_Toc19535 \h </w:instrText>
      </w:r>
      <w:r>
        <w:rPr>
          <w:rFonts w:hint="eastAsia" w:ascii="楷体" w:hAnsi="楷体" w:eastAsia="楷体" w:cs="楷体"/>
          <w:sz w:val="24"/>
          <w:szCs w:val="24"/>
        </w:rPr>
        <w:fldChar w:fldCharType="separate"/>
      </w:r>
      <w:r>
        <w:rPr>
          <w:rFonts w:hint="eastAsia" w:ascii="楷体" w:hAnsi="楷体" w:eastAsia="楷体" w:cs="楷体"/>
          <w:sz w:val="24"/>
          <w:szCs w:val="24"/>
        </w:rPr>
        <w:t>- 6 -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_Toc2271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3.1.3</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评估</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_Toc2271 \h </w:instrText>
      </w:r>
      <w:r>
        <w:rPr>
          <w:rFonts w:hint="eastAsia" w:ascii="楷体" w:hAnsi="楷体" w:eastAsia="楷体" w:cs="楷体"/>
          <w:sz w:val="24"/>
          <w:szCs w:val="24"/>
        </w:rPr>
        <w:fldChar w:fldCharType="separate"/>
      </w:r>
      <w:r>
        <w:rPr>
          <w:rFonts w:hint="eastAsia" w:ascii="楷体" w:hAnsi="楷体" w:eastAsia="楷体" w:cs="楷体"/>
          <w:sz w:val="24"/>
          <w:szCs w:val="24"/>
        </w:rPr>
        <w:t>- 7 -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_Toc14851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3.2</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预报预警</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_Toc14851 \h </w:instrText>
      </w:r>
      <w:r>
        <w:rPr>
          <w:rFonts w:hint="eastAsia" w:ascii="楷体" w:hAnsi="楷体" w:eastAsia="楷体" w:cs="楷体"/>
          <w:sz w:val="24"/>
          <w:szCs w:val="24"/>
        </w:rPr>
        <w:fldChar w:fldCharType="separate"/>
      </w:r>
      <w:r>
        <w:rPr>
          <w:rFonts w:hint="eastAsia" w:ascii="楷体" w:hAnsi="楷体" w:eastAsia="楷体" w:cs="楷体"/>
          <w:sz w:val="24"/>
          <w:szCs w:val="24"/>
        </w:rPr>
        <w:t>- 8 -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_Toc24902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3.3</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应急处置</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_Toc24902 \h </w:instrText>
      </w:r>
      <w:r>
        <w:rPr>
          <w:rFonts w:hint="eastAsia" w:ascii="楷体" w:hAnsi="楷体" w:eastAsia="楷体" w:cs="楷体"/>
          <w:sz w:val="24"/>
          <w:szCs w:val="24"/>
        </w:rPr>
        <w:fldChar w:fldCharType="separate"/>
      </w:r>
      <w:r>
        <w:rPr>
          <w:rFonts w:hint="eastAsia" w:ascii="楷体" w:hAnsi="楷体" w:eastAsia="楷体" w:cs="楷体"/>
          <w:sz w:val="24"/>
          <w:szCs w:val="24"/>
        </w:rPr>
        <w:t>- 8 -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_Toc7989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3.3.1</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信息报告</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_Toc7989 \h </w:instrText>
      </w:r>
      <w:r>
        <w:rPr>
          <w:rFonts w:hint="eastAsia" w:ascii="楷体" w:hAnsi="楷体" w:eastAsia="楷体" w:cs="楷体"/>
          <w:sz w:val="24"/>
          <w:szCs w:val="24"/>
        </w:rPr>
        <w:fldChar w:fldCharType="separate"/>
      </w:r>
      <w:r>
        <w:rPr>
          <w:rFonts w:hint="eastAsia" w:ascii="楷体" w:hAnsi="楷体" w:eastAsia="楷体" w:cs="楷体"/>
          <w:sz w:val="24"/>
          <w:szCs w:val="24"/>
        </w:rPr>
        <w:t>- 8 -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_Toc11447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3.3.2</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先期处置</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_Toc11447 \h </w:instrText>
      </w:r>
      <w:r>
        <w:rPr>
          <w:rFonts w:hint="eastAsia" w:ascii="楷体" w:hAnsi="楷体" w:eastAsia="楷体" w:cs="楷体"/>
          <w:sz w:val="24"/>
          <w:szCs w:val="24"/>
        </w:rPr>
        <w:fldChar w:fldCharType="separate"/>
      </w:r>
      <w:r>
        <w:rPr>
          <w:rFonts w:hint="eastAsia" w:ascii="楷体" w:hAnsi="楷体" w:eastAsia="楷体" w:cs="楷体"/>
          <w:sz w:val="24"/>
          <w:szCs w:val="24"/>
        </w:rPr>
        <w:t>- 9 -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_Toc18165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3.3.3</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灾区监测</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_Toc18165 \h </w:instrText>
      </w:r>
      <w:r>
        <w:rPr>
          <w:rFonts w:hint="eastAsia" w:ascii="楷体" w:hAnsi="楷体" w:eastAsia="楷体" w:cs="楷体"/>
          <w:sz w:val="24"/>
          <w:szCs w:val="24"/>
        </w:rPr>
        <w:fldChar w:fldCharType="separate"/>
      </w:r>
      <w:r>
        <w:rPr>
          <w:rFonts w:hint="eastAsia" w:ascii="楷体" w:hAnsi="楷体" w:eastAsia="楷体" w:cs="楷体"/>
          <w:sz w:val="24"/>
          <w:szCs w:val="24"/>
        </w:rPr>
        <w:t>- 9 -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_Toc9691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3.3.4</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响应启动</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_Toc9691 \h </w:instrText>
      </w:r>
      <w:r>
        <w:rPr>
          <w:rFonts w:hint="eastAsia" w:ascii="楷体" w:hAnsi="楷体" w:eastAsia="楷体" w:cs="楷体"/>
          <w:sz w:val="24"/>
          <w:szCs w:val="24"/>
        </w:rPr>
        <w:fldChar w:fldCharType="separate"/>
      </w:r>
      <w:r>
        <w:rPr>
          <w:rFonts w:hint="eastAsia" w:ascii="楷体" w:hAnsi="楷体" w:eastAsia="楷体" w:cs="楷体"/>
          <w:sz w:val="24"/>
          <w:szCs w:val="24"/>
        </w:rPr>
        <w:t>- 9 -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ind w:firstLine="240" w:firstLineChars="100"/>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_Toc24179 </w:instrText>
      </w:r>
      <w:r>
        <w:rPr>
          <w:rFonts w:hint="eastAsia" w:ascii="楷体" w:hAnsi="楷体" w:eastAsia="楷体" w:cs="楷体"/>
          <w:sz w:val="24"/>
          <w:szCs w:val="24"/>
          <w:lang w:eastAsia="zh-CN"/>
        </w:rPr>
        <w:fldChar w:fldCharType="separate"/>
      </w:r>
      <w:r>
        <w:rPr>
          <w:rFonts w:hint="eastAsia" w:ascii="楷体" w:hAnsi="楷体" w:eastAsia="楷体" w:cs="楷体"/>
          <w:bCs/>
          <w:sz w:val="24"/>
          <w:szCs w:val="24"/>
          <w:lang w:val="en-US" w:eastAsia="zh-CN"/>
        </w:rPr>
        <w:t xml:space="preserve">3.3.4.1 </w:t>
      </w:r>
      <w:r>
        <w:rPr>
          <w:rFonts w:hint="eastAsia" w:ascii="楷体" w:hAnsi="楷体" w:eastAsia="楷体" w:cs="楷体"/>
          <w:bCs/>
          <w:sz w:val="24"/>
          <w:szCs w:val="24"/>
          <w:lang w:eastAsia="zh-CN"/>
        </w:rPr>
        <w:t>I级响应</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_Toc24179 \h </w:instrText>
      </w:r>
      <w:r>
        <w:rPr>
          <w:rFonts w:hint="eastAsia" w:ascii="楷体" w:hAnsi="楷体" w:eastAsia="楷体" w:cs="楷体"/>
          <w:sz w:val="24"/>
          <w:szCs w:val="24"/>
        </w:rPr>
        <w:fldChar w:fldCharType="separate"/>
      </w:r>
      <w:r>
        <w:rPr>
          <w:rFonts w:hint="eastAsia" w:ascii="楷体" w:hAnsi="楷体" w:eastAsia="楷体" w:cs="楷体"/>
          <w:sz w:val="24"/>
          <w:szCs w:val="24"/>
        </w:rPr>
        <w:t>- 10 -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ind w:firstLine="240" w:firstLineChars="100"/>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_Toc23100 </w:instrText>
      </w:r>
      <w:r>
        <w:rPr>
          <w:rFonts w:hint="eastAsia" w:ascii="楷体" w:hAnsi="楷体" w:eastAsia="楷体" w:cs="楷体"/>
          <w:sz w:val="24"/>
          <w:szCs w:val="24"/>
          <w:lang w:eastAsia="zh-CN"/>
        </w:rPr>
        <w:fldChar w:fldCharType="separate"/>
      </w:r>
      <w:r>
        <w:rPr>
          <w:rFonts w:hint="eastAsia" w:ascii="楷体" w:hAnsi="楷体" w:eastAsia="楷体" w:cs="楷体"/>
          <w:bCs/>
          <w:sz w:val="24"/>
          <w:szCs w:val="24"/>
          <w:lang w:val="en-US" w:eastAsia="zh-CN"/>
        </w:rPr>
        <w:t xml:space="preserve">3.3.4.2 </w:t>
      </w:r>
      <w:r>
        <w:rPr>
          <w:rFonts w:hint="eastAsia" w:ascii="楷体" w:hAnsi="楷体" w:eastAsia="楷体" w:cs="楷体"/>
          <w:bCs/>
          <w:sz w:val="24"/>
          <w:szCs w:val="24"/>
          <w:lang w:eastAsia="zh-CN"/>
        </w:rPr>
        <w:t>II级响应</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_Toc23100 \h </w:instrText>
      </w:r>
      <w:r>
        <w:rPr>
          <w:rFonts w:hint="eastAsia" w:ascii="楷体" w:hAnsi="楷体" w:eastAsia="楷体" w:cs="楷体"/>
          <w:sz w:val="24"/>
          <w:szCs w:val="24"/>
        </w:rPr>
        <w:fldChar w:fldCharType="separate"/>
      </w:r>
      <w:r>
        <w:rPr>
          <w:rFonts w:hint="eastAsia" w:ascii="楷体" w:hAnsi="楷体" w:eastAsia="楷体" w:cs="楷体"/>
          <w:sz w:val="24"/>
          <w:szCs w:val="24"/>
        </w:rPr>
        <w:t>- 10 -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ind w:firstLine="240" w:firstLineChars="100"/>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_Toc17890 </w:instrText>
      </w:r>
      <w:r>
        <w:rPr>
          <w:rFonts w:hint="eastAsia" w:ascii="楷体" w:hAnsi="楷体" w:eastAsia="楷体" w:cs="楷体"/>
          <w:sz w:val="24"/>
          <w:szCs w:val="24"/>
          <w:lang w:eastAsia="zh-CN"/>
        </w:rPr>
        <w:fldChar w:fldCharType="separate"/>
      </w:r>
      <w:r>
        <w:rPr>
          <w:rFonts w:hint="eastAsia" w:ascii="楷体" w:hAnsi="楷体" w:eastAsia="楷体" w:cs="楷体"/>
          <w:bCs/>
          <w:sz w:val="24"/>
          <w:szCs w:val="24"/>
          <w:lang w:val="en-US" w:eastAsia="zh-CN"/>
        </w:rPr>
        <w:t xml:space="preserve">3.3.4.3 </w:t>
      </w:r>
      <w:r>
        <w:rPr>
          <w:rFonts w:hint="eastAsia" w:ascii="楷体" w:hAnsi="楷体" w:eastAsia="楷体" w:cs="楷体"/>
          <w:bCs/>
          <w:sz w:val="24"/>
          <w:szCs w:val="24"/>
          <w:lang w:eastAsia="zh-CN"/>
        </w:rPr>
        <w:t>III级响应</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_Toc17890 \h </w:instrText>
      </w:r>
      <w:r>
        <w:rPr>
          <w:rFonts w:hint="eastAsia" w:ascii="楷体" w:hAnsi="楷体" w:eastAsia="楷体" w:cs="楷体"/>
          <w:sz w:val="24"/>
          <w:szCs w:val="24"/>
        </w:rPr>
        <w:fldChar w:fldCharType="separate"/>
      </w:r>
      <w:r>
        <w:rPr>
          <w:rFonts w:hint="eastAsia" w:ascii="楷体" w:hAnsi="楷体" w:eastAsia="楷体" w:cs="楷体"/>
          <w:sz w:val="24"/>
          <w:szCs w:val="24"/>
        </w:rPr>
        <w:t>- 11 -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ind w:firstLine="240" w:firstLineChars="100"/>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_Toc14049 </w:instrText>
      </w:r>
      <w:r>
        <w:rPr>
          <w:rFonts w:hint="eastAsia" w:ascii="楷体" w:hAnsi="楷体" w:eastAsia="楷体" w:cs="楷体"/>
          <w:sz w:val="24"/>
          <w:szCs w:val="24"/>
          <w:lang w:eastAsia="zh-CN"/>
        </w:rPr>
        <w:fldChar w:fldCharType="separate"/>
      </w:r>
      <w:r>
        <w:rPr>
          <w:rFonts w:hint="eastAsia" w:ascii="楷体" w:hAnsi="楷体" w:eastAsia="楷体" w:cs="楷体"/>
          <w:bCs/>
          <w:sz w:val="24"/>
          <w:szCs w:val="24"/>
          <w:lang w:val="en-US" w:eastAsia="zh-CN"/>
        </w:rPr>
        <w:t xml:space="preserve">3.3.4.4 </w:t>
      </w:r>
      <w:r>
        <w:rPr>
          <w:rFonts w:hint="eastAsia" w:ascii="楷体" w:hAnsi="楷体" w:eastAsia="楷体" w:cs="楷体"/>
          <w:bCs/>
          <w:sz w:val="24"/>
          <w:szCs w:val="24"/>
          <w:lang w:eastAsia="zh-CN"/>
        </w:rPr>
        <w:t>Ⅳ级响应</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_Toc14049 \h </w:instrText>
      </w:r>
      <w:r>
        <w:rPr>
          <w:rFonts w:hint="eastAsia" w:ascii="楷体" w:hAnsi="楷体" w:eastAsia="楷体" w:cs="楷体"/>
          <w:sz w:val="24"/>
          <w:szCs w:val="24"/>
        </w:rPr>
        <w:fldChar w:fldCharType="separate"/>
      </w:r>
      <w:r>
        <w:rPr>
          <w:rFonts w:hint="eastAsia" w:ascii="楷体" w:hAnsi="楷体" w:eastAsia="楷体" w:cs="楷体"/>
          <w:sz w:val="24"/>
          <w:szCs w:val="24"/>
        </w:rPr>
        <w:t>- 12 -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_Toc5440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3.3.5</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现场处置</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_Toc5440 \h </w:instrText>
      </w:r>
      <w:r>
        <w:rPr>
          <w:rFonts w:hint="eastAsia" w:ascii="楷体" w:hAnsi="楷体" w:eastAsia="楷体" w:cs="楷体"/>
          <w:sz w:val="24"/>
          <w:szCs w:val="24"/>
        </w:rPr>
        <w:fldChar w:fldCharType="separate"/>
      </w:r>
      <w:r>
        <w:rPr>
          <w:rFonts w:hint="eastAsia" w:ascii="楷体" w:hAnsi="楷体" w:eastAsia="楷体" w:cs="楷体"/>
          <w:sz w:val="24"/>
          <w:szCs w:val="24"/>
        </w:rPr>
        <w:t>- 13 -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ind w:firstLine="240" w:firstLineChars="100"/>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_Toc15999 </w:instrText>
      </w:r>
      <w:r>
        <w:rPr>
          <w:rFonts w:hint="eastAsia" w:ascii="楷体" w:hAnsi="楷体" w:eastAsia="楷体" w:cs="楷体"/>
          <w:sz w:val="24"/>
          <w:szCs w:val="24"/>
          <w:lang w:eastAsia="zh-CN"/>
        </w:rPr>
        <w:fldChar w:fldCharType="separate"/>
      </w:r>
      <w:r>
        <w:rPr>
          <w:rFonts w:hint="eastAsia" w:ascii="楷体" w:hAnsi="楷体" w:eastAsia="楷体" w:cs="楷体"/>
          <w:bCs/>
          <w:sz w:val="24"/>
          <w:szCs w:val="24"/>
          <w:lang w:val="en-US" w:eastAsia="zh-CN"/>
        </w:rPr>
        <w:t xml:space="preserve">3.3.5.1 </w:t>
      </w:r>
      <w:r>
        <w:rPr>
          <w:rFonts w:hint="eastAsia" w:ascii="楷体" w:hAnsi="楷体" w:eastAsia="楷体" w:cs="楷体"/>
          <w:bCs/>
          <w:sz w:val="24"/>
          <w:szCs w:val="24"/>
          <w:lang w:eastAsia="zh-CN"/>
        </w:rPr>
        <w:t>搜救人员</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_Toc15999 \h </w:instrText>
      </w:r>
      <w:r>
        <w:rPr>
          <w:rFonts w:hint="eastAsia" w:ascii="楷体" w:hAnsi="楷体" w:eastAsia="楷体" w:cs="楷体"/>
          <w:sz w:val="24"/>
          <w:szCs w:val="24"/>
        </w:rPr>
        <w:fldChar w:fldCharType="separate"/>
      </w:r>
      <w:r>
        <w:rPr>
          <w:rFonts w:hint="eastAsia" w:ascii="楷体" w:hAnsi="楷体" w:eastAsia="楷体" w:cs="楷体"/>
          <w:sz w:val="24"/>
          <w:szCs w:val="24"/>
        </w:rPr>
        <w:t>- 13 -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ind w:firstLine="240" w:firstLineChars="100"/>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_Toc11353 </w:instrText>
      </w:r>
      <w:r>
        <w:rPr>
          <w:rFonts w:hint="eastAsia" w:ascii="楷体" w:hAnsi="楷体" w:eastAsia="楷体" w:cs="楷体"/>
          <w:sz w:val="24"/>
          <w:szCs w:val="24"/>
          <w:lang w:eastAsia="zh-CN"/>
        </w:rPr>
        <w:fldChar w:fldCharType="separate"/>
      </w:r>
      <w:r>
        <w:rPr>
          <w:rFonts w:hint="eastAsia" w:ascii="楷体" w:hAnsi="楷体" w:eastAsia="楷体" w:cs="楷体"/>
          <w:bCs/>
          <w:sz w:val="24"/>
          <w:szCs w:val="24"/>
          <w:lang w:val="en-US" w:eastAsia="zh-CN"/>
        </w:rPr>
        <w:t xml:space="preserve">3.3.5.2 </w:t>
      </w:r>
      <w:r>
        <w:rPr>
          <w:rFonts w:hint="eastAsia" w:ascii="楷体" w:hAnsi="楷体" w:eastAsia="楷体" w:cs="楷体"/>
          <w:bCs/>
          <w:sz w:val="24"/>
          <w:szCs w:val="24"/>
          <w:lang w:eastAsia="zh-CN"/>
        </w:rPr>
        <w:t>开展医疗救治和卫生防疫</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_Toc11353 \h </w:instrText>
      </w:r>
      <w:r>
        <w:rPr>
          <w:rFonts w:hint="eastAsia" w:ascii="楷体" w:hAnsi="楷体" w:eastAsia="楷体" w:cs="楷体"/>
          <w:sz w:val="24"/>
          <w:szCs w:val="24"/>
        </w:rPr>
        <w:fldChar w:fldCharType="separate"/>
      </w:r>
      <w:r>
        <w:rPr>
          <w:rFonts w:hint="eastAsia" w:ascii="楷体" w:hAnsi="楷体" w:eastAsia="楷体" w:cs="楷体"/>
          <w:sz w:val="24"/>
          <w:szCs w:val="24"/>
        </w:rPr>
        <w:t>- 13 -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ind w:firstLine="240" w:firstLineChars="100"/>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_Toc16887 </w:instrText>
      </w:r>
      <w:r>
        <w:rPr>
          <w:rFonts w:hint="eastAsia" w:ascii="楷体" w:hAnsi="楷体" w:eastAsia="楷体" w:cs="楷体"/>
          <w:sz w:val="24"/>
          <w:szCs w:val="24"/>
          <w:lang w:eastAsia="zh-CN"/>
        </w:rPr>
        <w:fldChar w:fldCharType="separate"/>
      </w:r>
      <w:r>
        <w:rPr>
          <w:rFonts w:hint="eastAsia" w:ascii="楷体" w:hAnsi="楷体" w:eastAsia="楷体" w:cs="楷体"/>
          <w:bCs/>
          <w:sz w:val="24"/>
          <w:szCs w:val="24"/>
          <w:lang w:val="en-US" w:eastAsia="zh-CN"/>
        </w:rPr>
        <w:t xml:space="preserve">3.3.5.3 </w:t>
      </w:r>
      <w:r>
        <w:rPr>
          <w:rFonts w:hint="eastAsia" w:ascii="楷体" w:hAnsi="楷体" w:eastAsia="楷体" w:cs="楷体"/>
          <w:bCs/>
          <w:sz w:val="24"/>
          <w:szCs w:val="24"/>
          <w:lang w:eastAsia="zh-CN"/>
        </w:rPr>
        <w:t>安置受灾群众</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_Toc16887 \h </w:instrText>
      </w:r>
      <w:r>
        <w:rPr>
          <w:rFonts w:hint="eastAsia" w:ascii="楷体" w:hAnsi="楷体" w:eastAsia="楷体" w:cs="楷体"/>
          <w:sz w:val="24"/>
          <w:szCs w:val="24"/>
        </w:rPr>
        <w:fldChar w:fldCharType="separate"/>
      </w:r>
      <w:r>
        <w:rPr>
          <w:rFonts w:hint="eastAsia" w:ascii="楷体" w:hAnsi="楷体" w:eastAsia="楷体" w:cs="楷体"/>
          <w:sz w:val="24"/>
          <w:szCs w:val="24"/>
        </w:rPr>
        <w:t>- 14 -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ind w:firstLine="240" w:firstLineChars="100"/>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_Toc20422 </w:instrText>
      </w:r>
      <w:r>
        <w:rPr>
          <w:rFonts w:hint="eastAsia" w:ascii="楷体" w:hAnsi="楷体" w:eastAsia="楷体" w:cs="楷体"/>
          <w:sz w:val="24"/>
          <w:szCs w:val="24"/>
          <w:lang w:eastAsia="zh-CN"/>
        </w:rPr>
        <w:fldChar w:fldCharType="separate"/>
      </w:r>
      <w:r>
        <w:rPr>
          <w:rFonts w:hint="eastAsia" w:ascii="楷体" w:hAnsi="楷体" w:eastAsia="楷体" w:cs="楷体"/>
          <w:bCs/>
          <w:sz w:val="24"/>
          <w:szCs w:val="24"/>
          <w:lang w:val="en-US" w:eastAsia="zh-CN"/>
        </w:rPr>
        <w:t xml:space="preserve">3.3.5.4 </w:t>
      </w:r>
      <w:r>
        <w:rPr>
          <w:rFonts w:hint="eastAsia" w:ascii="楷体" w:hAnsi="楷体" w:eastAsia="楷体" w:cs="楷体"/>
          <w:bCs/>
          <w:sz w:val="24"/>
          <w:szCs w:val="24"/>
          <w:lang w:eastAsia="zh-CN"/>
        </w:rPr>
        <w:t>抢修基础设施</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_Toc20422 \h </w:instrText>
      </w:r>
      <w:r>
        <w:rPr>
          <w:rFonts w:hint="eastAsia" w:ascii="楷体" w:hAnsi="楷体" w:eastAsia="楷体" w:cs="楷体"/>
          <w:sz w:val="24"/>
          <w:szCs w:val="24"/>
        </w:rPr>
        <w:fldChar w:fldCharType="separate"/>
      </w:r>
      <w:r>
        <w:rPr>
          <w:rFonts w:hint="eastAsia" w:ascii="楷体" w:hAnsi="楷体" w:eastAsia="楷体" w:cs="楷体"/>
          <w:sz w:val="24"/>
          <w:szCs w:val="24"/>
        </w:rPr>
        <w:t>- 14 -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ind w:firstLine="240" w:firstLineChars="100"/>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_Toc13779 </w:instrText>
      </w:r>
      <w:r>
        <w:rPr>
          <w:rFonts w:hint="eastAsia" w:ascii="楷体" w:hAnsi="楷体" w:eastAsia="楷体" w:cs="楷体"/>
          <w:sz w:val="24"/>
          <w:szCs w:val="24"/>
          <w:lang w:eastAsia="zh-CN"/>
        </w:rPr>
        <w:fldChar w:fldCharType="separate"/>
      </w:r>
      <w:r>
        <w:rPr>
          <w:rFonts w:hint="eastAsia" w:ascii="楷体" w:hAnsi="楷体" w:eastAsia="楷体" w:cs="楷体"/>
          <w:bCs/>
          <w:sz w:val="24"/>
          <w:szCs w:val="24"/>
          <w:lang w:val="en-US" w:eastAsia="zh-CN"/>
        </w:rPr>
        <w:t xml:space="preserve">3.3.5.5 </w:t>
      </w:r>
      <w:r>
        <w:rPr>
          <w:rFonts w:hint="eastAsia" w:ascii="楷体" w:hAnsi="楷体" w:eastAsia="楷体" w:cs="楷体"/>
          <w:bCs/>
          <w:sz w:val="24"/>
          <w:szCs w:val="24"/>
          <w:lang w:eastAsia="zh-CN"/>
        </w:rPr>
        <w:t>加强现场监测</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_Toc13779 \h </w:instrText>
      </w:r>
      <w:r>
        <w:rPr>
          <w:rFonts w:hint="eastAsia" w:ascii="楷体" w:hAnsi="楷体" w:eastAsia="楷体" w:cs="楷体"/>
          <w:sz w:val="24"/>
          <w:szCs w:val="24"/>
        </w:rPr>
        <w:fldChar w:fldCharType="separate"/>
      </w:r>
      <w:r>
        <w:rPr>
          <w:rFonts w:hint="eastAsia" w:ascii="楷体" w:hAnsi="楷体" w:eastAsia="楷体" w:cs="楷体"/>
          <w:sz w:val="24"/>
          <w:szCs w:val="24"/>
        </w:rPr>
        <w:t>- 14 -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ind w:firstLine="240" w:firstLineChars="100"/>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_Toc8949 </w:instrText>
      </w:r>
      <w:r>
        <w:rPr>
          <w:rFonts w:hint="eastAsia" w:ascii="楷体" w:hAnsi="楷体" w:eastAsia="楷体" w:cs="楷体"/>
          <w:sz w:val="24"/>
          <w:szCs w:val="24"/>
          <w:lang w:eastAsia="zh-CN"/>
        </w:rPr>
        <w:fldChar w:fldCharType="separate"/>
      </w:r>
      <w:r>
        <w:rPr>
          <w:rFonts w:hint="eastAsia" w:ascii="楷体" w:hAnsi="楷体" w:eastAsia="楷体" w:cs="楷体"/>
          <w:bCs/>
          <w:sz w:val="24"/>
          <w:szCs w:val="24"/>
          <w:lang w:val="en-US" w:eastAsia="zh-CN"/>
        </w:rPr>
        <w:t xml:space="preserve">3.3.5.6 </w:t>
      </w:r>
      <w:r>
        <w:rPr>
          <w:rFonts w:hint="eastAsia" w:ascii="楷体" w:hAnsi="楷体" w:eastAsia="楷体" w:cs="楷体"/>
          <w:bCs/>
          <w:sz w:val="24"/>
          <w:szCs w:val="24"/>
          <w:lang w:eastAsia="zh-CN"/>
        </w:rPr>
        <w:t>防御次生灾害</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_Toc8949 \h </w:instrText>
      </w:r>
      <w:r>
        <w:rPr>
          <w:rFonts w:hint="eastAsia" w:ascii="楷体" w:hAnsi="楷体" w:eastAsia="楷体" w:cs="楷体"/>
          <w:sz w:val="24"/>
          <w:szCs w:val="24"/>
        </w:rPr>
        <w:fldChar w:fldCharType="separate"/>
      </w:r>
      <w:r>
        <w:rPr>
          <w:rFonts w:hint="eastAsia" w:ascii="楷体" w:hAnsi="楷体" w:eastAsia="楷体" w:cs="楷体"/>
          <w:sz w:val="24"/>
          <w:szCs w:val="24"/>
        </w:rPr>
        <w:t>- 15 -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ind w:firstLine="240" w:firstLineChars="100"/>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_Toc21667 </w:instrText>
      </w:r>
      <w:r>
        <w:rPr>
          <w:rFonts w:hint="eastAsia" w:ascii="楷体" w:hAnsi="楷体" w:eastAsia="楷体" w:cs="楷体"/>
          <w:sz w:val="24"/>
          <w:szCs w:val="24"/>
          <w:lang w:eastAsia="zh-CN"/>
        </w:rPr>
        <w:fldChar w:fldCharType="separate"/>
      </w:r>
      <w:r>
        <w:rPr>
          <w:rFonts w:hint="eastAsia" w:ascii="楷体" w:hAnsi="楷体" w:eastAsia="楷体" w:cs="楷体"/>
          <w:bCs/>
          <w:sz w:val="24"/>
          <w:szCs w:val="24"/>
          <w:lang w:val="en-US" w:eastAsia="zh-CN"/>
        </w:rPr>
        <w:t xml:space="preserve">3.3.5.7 </w:t>
      </w:r>
      <w:r>
        <w:rPr>
          <w:rFonts w:hint="eastAsia" w:ascii="楷体" w:hAnsi="楷体" w:eastAsia="楷体" w:cs="楷体"/>
          <w:bCs/>
          <w:sz w:val="24"/>
          <w:szCs w:val="24"/>
          <w:lang w:eastAsia="zh-CN"/>
        </w:rPr>
        <w:t>维护社会治安</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_Toc21667 \h </w:instrText>
      </w:r>
      <w:r>
        <w:rPr>
          <w:rFonts w:hint="eastAsia" w:ascii="楷体" w:hAnsi="楷体" w:eastAsia="楷体" w:cs="楷体"/>
          <w:sz w:val="24"/>
          <w:szCs w:val="24"/>
        </w:rPr>
        <w:fldChar w:fldCharType="separate"/>
      </w:r>
      <w:r>
        <w:rPr>
          <w:rFonts w:hint="eastAsia" w:ascii="楷体" w:hAnsi="楷体" w:eastAsia="楷体" w:cs="楷体"/>
          <w:sz w:val="24"/>
          <w:szCs w:val="24"/>
        </w:rPr>
        <w:t>- 15 -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_Toc3977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3.3.6</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社会动员</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_Toc3977 \h </w:instrText>
      </w:r>
      <w:r>
        <w:rPr>
          <w:rFonts w:hint="eastAsia" w:ascii="楷体" w:hAnsi="楷体" w:eastAsia="楷体" w:cs="楷体"/>
          <w:sz w:val="24"/>
          <w:szCs w:val="24"/>
        </w:rPr>
        <w:fldChar w:fldCharType="separate"/>
      </w:r>
      <w:r>
        <w:rPr>
          <w:rFonts w:hint="eastAsia" w:ascii="楷体" w:hAnsi="楷体" w:eastAsia="楷体" w:cs="楷体"/>
          <w:sz w:val="24"/>
          <w:szCs w:val="24"/>
        </w:rPr>
        <w:t>- 15 -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_Toc32116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3.3.7</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响应终止</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_Toc32116 \h </w:instrText>
      </w:r>
      <w:r>
        <w:rPr>
          <w:rFonts w:hint="eastAsia" w:ascii="楷体" w:hAnsi="楷体" w:eastAsia="楷体" w:cs="楷体"/>
          <w:sz w:val="24"/>
          <w:szCs w:val="24"/>
        </w:rPr>
        <w:fldChar w:fldCharType="separate"/>
      </w:r>
      <w:r>
        <w:rPr>
          <w:rFonts w:hint="eastAsia" w:ascii="楷体" w:hAnsi="楷体" w:eastAsia="楷体" w:cs="楷体"/>
          <w:sz w:val="24"/>
          <w:szCs w:val="24"/>
        </w:rPr>
        <w:t>- 16 -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_Toc27788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3.4</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信息发布</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_Toc27788 \h </w:instrText>
      </w:r>
      <w:r>
        <w:rPr>
          <w:rFonts w:hint="eastAsia" w:ascii="楷体" w:hAnsi="楷体" w:eastAsia="楷体" w:cs="楷体"/>
          <w:sz w:val="24"/>
          <w:szCs w:val="24"/>
        </w:rPr>
        <w:fldChar w:fldCharType="separate"/>
      </w:r>
      <w:r>
        <w:rPr>
          <w:rFonts w:hint="eastAsia" w:ascii="楷体" w:hAnsi="楷体" w:eastAsia="楷体" w:cs="楷体"/>
          <w:sz w:val="24"/>
          <w:szCs w:val="24"/>
        </w:rPr>
        <w:t>- 16 -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_Toc30380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3.5</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恢复重建</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_Toc30380 \h </w:instrText>
      </w:r>
      <w:r>
        <w:rPr>
          <w:rFonts w:hint="eastAsia" w:ascii="楷体" w:hAnsi="楷体" w:eastAsia="楷体" w:cs="楷体"/>
          <w:sz w:val="24"/>
          <w:szCs w:val="24"/>
        </w:rPr>
        <w:fldChar w:fldCharType="separate"/>
      </w:r>
      <w:r>
        <w:rPr>
          <w:rFonts w:hint="eastAsia" w:ascii="楷体" w:hAnsi="楷体" w:eastAsia="楷体" w:cs="楷体"/>
          <w:sz w:val="24"/>
          <w:szCs w:val="24"/>
        </w:rPr>
        <w:t>- 16 -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_Toc3138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3.5.1</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制订规划</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_Toc3138 \h </w:instrText>
      </w:r>
      <w:r>
        <w:rPr>
          <w:rFonts w:hint="eastAsia" w:ascii="楷体" w:hAnsi="楷体" w:eastAsia="楷体" w:cs="楷体"/>
          <w:sz w:val="24"/>
          <w:szCs w:val="24"/>
        </w:rPr>
        <w:fldChar w:fldCharType="separate"/>
      </w:r>
      <w:r>
        <w:rPr>
          <w:rFonts w:hint="eastAsia" w:ascii="楷体" w:hAnsi="楷体" w:eastAsia="楷体" w:cs="楷体"/>
          <w:sz w:val="24"/>
          <w:szCs w:val="24"/>
        </w:rPr>
        <w:t>- 16 -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_Toc16655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3.5.2</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征用补偿</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_Toc16655 \h </w:instrText>
      </w:r>
      <w:r>
        <w:rPr>
          <w:rFonts w:hint="eastAsia" w:ascii="楷体" w:hAnsi="楷体" w:eastAsia="楷体" w:cs="楷体"/>
          <w:sz w:val="24"/>
          <w:szCs w:val="24"/>
        </w:rPr>
        <w:fldChar w:fldCharType="separate"/>
      </w:r>
      <w:r>
        <w:rPr>
          <w:rFonts w:hint="eastAsia" w:ascii="楷体" w:hAnsi="楷体" w:eastAsia="楷体" w:cs="楷体"/>
          <w:sz w:val="24"/>
          <w:szCs w:val="24"/>
        </w:rPr>
        <w:t>- 16 -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9"/>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_Toc19881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3.5.3</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灾害保险</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_Toc19881 \h </w:instrText>
      </w:r>
      <w:r>
        <w:rPr>
          <w:rFonts w:hint="eastAsia" w:ascii="楷体" w:hAnsi="楷体" w:eastAsia="楷体" w:cs="楷体"/>
          <w:sz w:val="24"/>
          <w:szCs w:val="24"/>
        </w:rPr>
        <w:fldChar w:fldCharType="separate"/>
      </w:r>
      <w:r>
        <w:rPr>
          <w:rFonts w:hint="eastAsia" w:ascii="楷体" w:hAnsi="楷体" w:eastAsia="楷体" w:cs="楷体"/>
          <w:sz w:val="24"/>
          <w:szCs w:val="24"/>
        </w:rPr>
        <w:t>- 17 -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2"/>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_Toc30442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4</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应急保障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_Toc30442 \h </w:instrText>
      </w:r>
      <w:r>
        <w:rPr>
          <w:rFonts w:hint="eastAsia" w:ascii="楷体" w:hAnsi="楷体" w:eastAsia="楷体" w:cs="楷体"/>
          <w:sz w:val="24"/>
          <w:szCs w:val="24"/>
        </w:rPr>
        <w:fldChar w:fldCharType="separate"/>
      </w:r>
      <w:r>
        <w:rPr>
          <w:rFonts w:hint="eastAsia" w:ascii="楷体" w:hAnsi="楷体" w:eastAsia="楷体" w:cs="楷体"/>
          <w:sz w:val="24"/>
          <w:szCs w:val="24"/>
        </w:rPr>
        <w:t>- 17 -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_Toc8581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4.1</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队伍保障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_Toc8581 \h </w:instrText>
      </w:r>
      <w:r>
        <w:rPr>
          <w:rFonts w:hint="eastAsia" w:ascii="楷体" w:hAnsi="楷体" w:eastAsia="楷体" w:cs="楷体"/>
          <w:sz w:val="24"/>
          <w:szCs w:val="24"/>
        </w:rPr>
        <w:fldChar w:fldCharType="separate"/>
      </w:r>
      <w:r>
        <w:rPr>
          <w:rFonts w:hint="eastAsia" w:ascii="楷体" w:hAnsi="楷体" w:eastAsia="楷体" w:cs="楷体"/>
          <w:sz w:val="24"/>
          <w:szCs w:val="24"/>
        </w:rPr>
        <w:t>- 17 -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_Toc2109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4.2</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资金保障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_Toc2109 \h </w:instrText>
      </w:r>
      <w:r>
        <w:rPr>
          <w:rFonts w:hint="eastAsia" w:ascii="楷体" w:hAnsi="楷体" w:eastAsia="楷体" w:cs="楷体"/>
          <w:sz w:val="24"/>
          <w:szCs w:val="24"/>
        </w:rPr>
        <w:fldChar w:fldCharType="separate"/>
      </w:r>
      <w:r>
        <w:rPr>
          <w:rFonts w:hint="eastAsia" w:ascii="楷体" w:hAnsi="楷体" w:eastAsia="楷体" w:cs="楷体"/>
          <w:sz w:val="24"/>
          <w:szCs w:val="24"/>
        </w:rPr>
        <w:t>- 17 -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_Toc18538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4.3</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物资保障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_Toc18538 \h </w:instrText>
      </w:r>
      <w:r>
        <w:rPr>
          <w:rFonts w:hint="eastAsia" w:ascii="楷体" w:hAnsi="楷体" w:eastAsia="楷体" w:cs="楷体"/>
          <w:sz w:val="24"/>
          <w:szCs w:val="24"/>
        </w:rPr>
        <w:fldChar w:fldCharType="separate"/>
      </w:r>
      <w:r>
        <w:rPr>
          <w:rFonts w:hint="eastAsia" w:ascii="楷体" w:hAnsi="楷体" w:eastAsia="楷体" w:cs="楷体"/>
          <w:sz w:val="24"/>
          <w:szCs w:val="24"/>
        </w:rPr>
        <w:t>- 18 -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_Toc29461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4.4</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避难场所保障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_Toc29461 \h </w:instrText>
      </w:r>
      <w:r>
        <w:rPr>
          <w:rFonts w:hint="eastAsia" w:ascii="楷体" w:hAnsi="楷体" w:eastAsia="楷体" w:cs="楷体"/>
          <w:sz w:val="24"/>
          <w:szCs w:val="24"/>
        </w:rPr>
        <w:fldChar w:fldCharType="separate"/>
      </w:r>
      <w:r>
        <w:rPr>
          <w:rFonts w:hint="eastAsia" w:ascii="楷体" w:hAnsi="楷体" w:eastAsia="楷体" w:cs="楷体"/>
          <w:sz w:val="24"/>
          <w:szCs w:val="24"/>
        </w:rPr>
        <w:t>- 18 -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_Toc6381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4.5</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基础设施保障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_Toc6381 \h </w:instrText>
      </w:r>
      <w:r>
        <w:rPr>
          <w:rFonts w:hint="eastAsia" w:ascii="楷体" w:hAnsi="楷体" w:eastAsia="楷体" w:cs="楷体"/>
          <w:sz w:val="24"/>
          <w:szCs w:val="24"/>
        </w:rPr>
        <w:fldChar w:fldCharType="separate"/>
      </w:r>
      <w:r>
        <w:rPr>
          <w:rFonts w:hint="eastAsia" w:ascii="楷体" w:hAnsi="楷体" w:eastAsia="楷体" w:cs="楷体"/>
          <w:sz w:val="24"/>
          <w:szCs w:val="24"/>
        </w:rPr>
        <w:t>- 18 -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_Toc16273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4.6</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平台保障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_Toc16273 \h </w:instrText>
      </w:r>
      <w:r>
        <w:rPr>
          <w:rFonts w:hint="eastAsia" w:ascii="楷体" w:hAnsi="楷体" w:eastAsia="楷体" w:cs="楷体"/>
          <w:sz w:val="24"/>
          <w:szCs w:val="24"/>
        </w:rPr>
        <w:fldChar w:fldCharType="separate"/>
      </w:r>
      <w:r>
        <w:rPr>
          <w:rFonts w:hint="eastAsia" w:ascii="楷体" w:hAnsi="楷体" w:eastAsia="楷体" w:cs="楷体"/>
          <w:sz w:val="24"/>
          <w:szCs w:val="24"/>
        </w:rPr>
        <w:t>- 19 -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2"/>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_Toc9743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5</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监督管理</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_Toc9743 \h </w:instrText>
      </w:r>
      <w:r>
        <w:rPr>
          <w:rFonts w:hint="eastAsia" w:ascii="楷体" w:hAnsi="楷体" w:eastAsia="楷体" w:cs="楷体"/>
          <w:sz w:val="24"/>
          <w:szCs w:val="24"/>
        </w:rPr>
        <w:fldChar w:fldCharType="separate"/>
      </w:r>
      <w:r>
        <w:rPr>
          <w:rFonts w:hint="eastAsia" w:ascii="楷体" w:hAnsi="楷体" w:eastAsia="楷体" w:cs="楷体"/>
          <w:sz w:val="24"/>
          <w:szCs w:val="24"/>
        </w:rPr>
        <w:t>- 19 -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_Toc14977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5.1</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预案演练</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_Toc14977 \h </w:instrText>
      </w:r>
      <w:r>
        <w:rPr>
          <w:rFonts w:hint="eastAsia" w:ascii="楷体" w:hAnsi="楷体" w:eastAsia="楷体" w:cs="楷体"/>
          <w:sz w:val="24"/>
          <w:szCs w:val="24"/>
        </w:rPr>
        <w:fldChar w:fldCharType="separate"/>
      </w:r>
      <w:r>
        <w:rPr>
          <w:rFonts w:hint="eastAsia" w:ascii="楷体" w:hAnsi="楷体" w:eastAsia="楷体" w:cs="楷体"/>
          <w:sz w:val="24"/>
          <w:szCs w:val="24"/>
        </w:rPr>
        <w:t>- 19 -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_Toc24536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5.2</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宣教培训</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_Toc24536 \h </w:instrText>
      </w:r>
      <w:r>
        <w:rPr>
          <w:rFonts w:hint="eastAsia" w:ascii="楷体" w:hAnsi="楷体" w:eastAsia="楷体" w:cs="楷体"/>
          <w:sz w:val="24"/>
          <w:szCs w:val="24"/>
        </w:rPr>
        <w:fldChar w:fldCharType="separate"/>
      </w:r>
      <w:r>
        <w:rPr>
          <w:rFonts w:hint="eastAsia" w:ascii="楷体" w:hAnsi="楷体" w:eastAsia="楷体" w:cs="楷体"/>
          <w:sz w:val="24"/>
          <w:szCs w:val="24"/>
        </w:rPr>
        <w:t>- 20 -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_Toc22655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5.3</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责任与奖惩</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_Toc22655 \h </w:instrText>
      </w:r>
      <w:r>
        <w:rPr>
          <w:rFonts w:hint="eastAsia" w:ascii="楷体" w:hAnsi="楷体" w:eastAsia="楷体" w:cs="楷体"/>
          <w:sz w:val="24"/>
          <w:szCs w:val="24"/>
        </w:rPr>
        <w:fldChar w:fldCharType="separate"/>
      </w:r>
      <w:r>
        <w:rPr>
          <w:rFonts w:hint="eastAsia" w:ascii="楷体" w:hAnsi="楷体" w:eastAsia="楷体" w:cs="楷体"/>
          <w:sz w:val="24"/>
          <w:szCs w:val="24"/>
        </w:rPr>
        <w:t>- 20 -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2"/>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_Toc17016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val="en-US" w:eastAsia="zh-CN"/>
        </w:rPr>
        <w:t xml:space="preserve">6 </w:t>
      </w:r>
      <w:r>
        <w:rPr>
          <w:rFonts w:hint="eastAsia" w:ascii="楷体" w:hAnsi="楷体" w:eastAsia="楷体" w:cs="楷体"/>
          <w:sz w:val="24"/>
          <w:szCs w:val="24"/>
          <w:lang w:eastAsia="zh-CN"/>
        </w:rPr>
        <w:t>附则</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_Toc17016 \h </w:instrText>
      </w:r>
      <w:r>
        <w:rPr>
          <w:rFonts w:hint="eastAsia" w:ascii="楷体" w:hAnsi="楷体" w:eastAsia="楷体" w:cs="楷体"/>
          <w:sz w:val="24"/>
          <w:szCs w:val="24"/>
        </w:rPr>
        <w:fldChar w:fldCharType="separate"/>
      </w:r>
      <w:r>
        <w:rPr>
          <w:rFonts w:hint="eastAsia" w:ascii="楷体" w:hAnsi="楷体" w:eastAsia="楷体" w:cs="楷体"/>
          <w:sz w:val="24"/>
          <w:szCs w:val="24"/>
        </w:rPr>
        <w:t>- 20 -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_Toc7919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6.1</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名词术语</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_Toc7919 \h </w:instrText>
      </w:r>
      <w:r>
        <w:rPr>
          <w:rFonts w:hint="eastAsia" w:ascii="楷体" w:hAnsi="楷体" w:eastAsia="楷体" w:cs="楷体"/>
          <w:sz w:val="24"/>
          <w:szCs w:val="24"/>
        </w:rPr>
        <w:fldChar w:fldCharType="separate"/>
      </w:r>
      <w:r>
        <w:rPr>
          <w:rFonts w:hint="eastAsia" w:ascii="楷体" w:hAnsi="楷体" w:eastAsia="楷体" w:cs="楷体"/>
          <w:sz w:val="24"/>
          <w:szCs w:val="24"/>
        </w:rPr>
        <w:t>- 20 -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_Toc10722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6.2</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预案管理</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_Toc10722 \h </w:instrText>
      </w:r>
      <w:r>
        <w:rPr>
          <w:rFonts w:hint="eastAsia" w:ascii="楷体" w:hAnsi="楷体" w:eastAsia="楷体" w:cs="楷体"/>
          <w:sz w:val="24"/>
          <w:szCs w:val="24"/>
        </w:rPr>
        <w:fldChar w:fldCharType="separate"/>
      </w:r>
      <w:r>
        <w:rPr>
          <w:rFonts w:hint="eastAsia" w:ascii="楷体" w:hAnsi="楷体" w:eastAsia="楷体" w:cs="楷体"/>
          <w:sz w:val="24"/>
          <w:szCs w:val="24"/>
        </w:rPr>
        <w:t>- 21 -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_Toc1635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6.3</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预案衔接</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_Toc1635 \h </w:instrText>
      </w:r>
      <w:r>
        <w:rPr>
          <w:rFonts w:hint="eastAsia" w:ascii="楷体" w:hAnsi="楷体" w:eastAsia="楷体" w:cs="楷体"/>
          <w:sz w:val="24"/>
          <w:szCs w:val="24"/>
        </w:rPr>
        <w:fldChar w:fldCharType="separate"/>
      </w:r>
      <w:r>
        <w:rPr>
          <w:rFonts w:hint="eastAsia" w:ascii="楷体" w:hAnsi="楷体" w:eastAsia="楷体" w:cs="楷体"/>
          <w:sz w:val="24"/>
          <w:szCs w:val="24"/>
        </w:rPr>
        <w:t>- 21 -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_Toc16195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6.4</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预案实施时间</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_Toc16195 \h </w:instrText>
      </w:r>
      <w:r>
        <w:rPr>
          <w:rFonts w:hint="eastAsia" w:ascii="楷体" w:hAnsi="楷体" w:eastAsia="楷体" w:cs="楷体"/>
          <w:sz w:val="24"/>
          <w:szCs w:val="24"/>
        </w:rPr>
        <w:fldChar w:fldCharType="separate"/>
      </w:r>
      <w:r>
        <w:rPr>
          <w:rFonts w:hint="eastAsia" w:ascii="楷体" w:hAnsi="楷体" w:eastAsia="楷体" w:cs="楷体"/>
          <w:sz w:val="24"/>
          <w:szCs w:val="24"/>
        </w:rPr>
        <w:t>- 21 -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2"/>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_Toc4427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val="en-US" w:eastAsia="zh-CN"/>
        </w:rPr>
        <w:t>7 附件</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_Toc4427 \h </w:instrText>
      </w:r>
      <w:r>
        <w:rPr>
          <w:rFonts w:hint="eastAsia" w:ascii="楷体" w:hAnsi="楷体" w:eastAsia="楷体" w:cs="楷体"/>
          <w:sz w:val="24"/>
          <w:szCs w:val="24"/>
        </w:rPr>
        <w:fldChar w:fldCharType="separate"/>
      </w:r>
      <w:r>
        <w:rPr>
          <w:rFonts w:hint="eastAsia" w:ascii="楷体" w:hAnsi="楷体" w:eastAsia="楷体" w:cs="楷体"/>
          <w:sz w:val="24"/>
          <w:szCs w:val="24"/>
        </w:rPr>
        <w:t>- 22 -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rPr>
          <w:rFonts w:hint="eastAsia" w:ascii="楷体" w:hAnsi="楷体" w:eastAsia="楷体" w:cs="楷体"/>
          <w:sz w:val="24"/>
          <w:szCs w:val="24"/>
          <w:lang w:val="en-US"/>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_Toc28525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附件1</w:t>
      </w:r>
      <w:r>
        <w:rPr>
          <w:rFonts w:hint="eastAsia" w:ascii="楷体" w:hAnsi="楷体" w:eastAsia="楷体" w:cs="楷体"/>
          <w:sz w:val="24"/>
          <w:szCs w:val="24"/>
          <w:lang w:eastAsia="zh-CN"/>
        </w:rPr>
        <w:fldChar w:fldCharType="end"/>
      </w: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_Toc31877 </w:instrText>
      </w:r>
      <w:r>
        <w:rPr>
          <w:rFonts w:hint="eastAsia" w:ascii="楷体" w:hAnsi="楷体" w:eastAsia="楷体" w:cs="楷体"/>
          <w:sz w:val="24"/>
          <w:szCs w:val="24"/>
          <w:lang w:eastAsia="zh-CN"/>
        </w:rPr>
        <w:fldChar w:fldCharType="separate"/>
      </w:r>
      <w:r>
        <w:rPr>
          <w:rFonts w:hint="eastAsia" w:ascii="楷体" w:hAnsi="楷体" w:eastAsia="楷体" w:cs="楷体"/>
          <w:bCs/>
          <w:sz w:val="24"/>
          <w:szCs w:val="24"/>
          <w:lang w:eastAsia="zh-CN"/>
        </w:rPr>
        <w:t>清城区突发地质灾害应急指挥部成员单位职责</w:t>
      </w:r>
      <w:r>
        <w:rPr>
          <w:rFonts w:hint="eastAsia" w:ascii="楷体" w:hAnsi="楷体" w:eastAsia="楷体" w:cs="楷体"/>
          <w:sz w:val="24"/>
          <w:szCs w:val="24"/>
        </w:rPr>
        <w:tab/>
      </w:r>
      <w:r>
        <w:rPr>
          <w:rFonts w:hint="eastAsia" w:ascii="楷体" w:hAnsi="楷体" w:eastAsia="楷体" w:cs="楷体"/>
          <w:sz w:val="24"/>
          <w:szCs w:val="24"/>
          <w:lang w:eastAsia="zh-CN"/>
        </w:rPr>
        <w:fldChar w:fldCharType="end"/>
      </w:r>
      <w:r>
        <w:rPr>
          <w:rFonts w:hint="eastAsia" w:ascii="楷体" w:hAnsi="楷体" w:eastAsia="楷体" w:cs="楷体"/>
          <w:sz w:val="24"/>
          <w:szCs w:val="24"/>
          <w:lang w:val="en-US" w:eastAsia="zh-CN"/>
        </w:rPr>
        <w:t>24</w:t>
      </w:r>
    </w:p>
    <w:p>
      <w:pPr>
        <w:pStyle w:val="13"/>
        <w:tabs>
          <w:tab w:val="right" w:leader="dot" w:pos="8306"/>
        </w:tabs>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_Toc16374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附件</w:t>
      </w:r>
      <w:r>
        <w:rPr>
          <w:rFonts w:hint="eastAsia" w:ascii="楷体" w:hAnsi="楷体" w:eastAsia="楷体" w:cs="楷体"/>
          <w:sz w:val="24"/>
          <w:szCs w:val="24"/>
          <w:lang w:val="en-US" w:eastAsia="zh-CN"/>
        </w:rPr>
        <w:t>2</w:t>
      </w:r>
      <w:r>
        <w:rPr>
          <w:rFonts w:hint="eastAsia" w:ascii="楷体" w:hAnsi="楷体" w:eastAsia="楷体" w:cs="楷体"/>
          <w:bCs/>
          <w:sz w:val="24"/>
          <w:szCs w:val="24"/>
          <w:lang w:val="en-US" w:eastAsia="zh-CN" w:bidi="ar-SA"/>
        </w:rPr>
        <w:t>清城区突发地质灾害应急指挥部工作组及职责</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_Toc16374 \h </w:instrText>
      </w:r>
      <w:r>
        <w:rPr>
          <w:rFonts w:hint="eastAsia" w:ascii="楷体" w:hAnsi="楷体" w:eastAsia="楷体" w:cs="楷体"/>
          <w:sz w:val="24"/>
          <w:szCs w:val="24"/>
        </w:rPr>
        <w:fldChar w:fldCharType="separate"/>
      </w:r>
      <w:r>
        <w:rPr>
          <w:rFonts w:hint="eastAsia" w:ascii="楷体" w:hAnsi="楷体" w:eastAsia="楷体" w:cs="楷体"/>
          <w:sz w:val="24"/>
          <w:szCs w:val="24"/>
        </w:rPr>
        <w:t>- 28 -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2"/>
        <w:tabs>
          <w:tab w:val="right" w:leader="dot" w:pos="8306"/>
        </w:tabs>
        <w:ind w:firstLine="480" w:firstLineChars="200"/>
        <w:rPr>
          <w:rFonts w:hint="eastAsia" w:ascii="楷体" w:hAnsi="楷体" w:eastAsia="楷体" w:cs="楷体"/>
          <w:sz w:val="24"/>
          <w:szCs w:val="24"/>
        </w:rPr>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_Toc31027 </w:instrText>
      </w:r>
      <w:r>
        <w:rPr>
          <w:rFonts w:hint="eastAsia" w:ascii="楷体" w:hAnsi="楷体" w:eastAsia="楷体" w:cs="楷体"/>
          <w:sz w:val="24"/>
          <w:szCs w:val="24"/>
          <w:lang w:eastAsia="zh-CN"/>
        </w:rPr>
        <w:fldChar w:fldCharType="separate"/>
      </w:r>
      <w:r>
        <w:rPr>
          <w:rFonts w:hint="eastAsia" w:ascii="楷体" w:hAnsi="楷体" w:eastAsia="楷体" w:cs="楷体"/>
          <w:bCs w:val="0"/>
          <w:sz w:val="24"/>
          <w:szCs w:val="24"/>
          <w:lang w:eastAsia="zh-CN"/>
        </w:rPr>
        <w:t>附件3</w:t>
      </w:r>
      <w:r>
        <w:rPr>
          <w:rFonts w:hint="eastAsia" w:ascii="楷体" w:hAnsi="楷体" w:eastAsia="楷体" w:cs="楷体"/>
          <w:sz w:val="24"/>
          <w:szCs w:val="24"/>
          <w:lang w:eastAsia="zh-CN"/>
        </w:rPr>
        <w:fldChar w:fldCharType="end"/>
      </w: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_Toc6433 </w:instrText>
      </w:r>
      <w:r>
        <w:rPr>
          <w:rFonts w:hint="eastAsia" w:ascii="楷体" w:hAnsi="楷体" w:eastAsia="楷体" w:cs="楷体"/>
          <w:sz w:val="24"/>
          <w:szCs w:val="24"/>
          <w:lang w:eastAsia="zh-CN"/>
        </w:rPr>
        <w:fldChar w:fldCharType="separate"/>
      </w:r>
      <w:r>
        <w:rPr>
          <w:rFonts w:hint="eastAsia" w:ascii="楷体" w:hAnsi="楷体" w:eastAsia="楷体" w:cs="楷体"/>
          <w:bCs/>
          <w:sz w:val="24"/>
          <w:szCs w:val="24"/>
          <w:lang w:eastAsia="zh-CN"/>
        </w:rPr>
        <w:t>地质灾害分级标准</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_Toc6433 \h </w:instrText>
      </w:r>
      <w:r>
        <w:rPr>
          <w:rFonts w:hint="eastAsia" w:ascii="楷体" w:hAnsi="楷体" w:eastAsia="楷体" w:cs="楷体"/>
          <w:sz w:val="24"/>
          <w:szCs w:val="24"/>
        </w:rPr>
        <w:fldChar w:fldCharType="separate"/>
      </w:r>
      <w:r>
        <w:rPr>
          <w:rFonts w:hint="eastAsia" w:ascii="楷体" w:hAnsi="楷体" w:eastAsia="楷体" w:cs="楷体"/>
          <w:sz w:val="24"/>
          <w:szCs w:val="24"/>
        </w:rPr>
        <w:t>- 32 -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pStyle w:val="13"/>
        <w:tabs>
          <w:tab w:val="right" w:leader="dot" w:pos="8306"/>
        </w:tabs>
      </w:pP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_Toc15571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val="en-US" w:eastAsia="zh-CN"/>
        </w:rPr>
        <w:t>附件4</w:t>
      </w:r>
      <w:r>
        <w:rPr>
          <w:rFonts w:hint="eastAsia" w:ascii="楷体" w:hAnsi="楷体" w:eastAsia="楷体" w:cs="楷体"/>
          <w:sz w:val="24"/>
          <w:szCs w:val="24"/>
          <w:lang w:eastAsia="zh-CN"/>
        </w:rPr>
        <w:fldChar w:fldCharType="end"/>
      </w: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HYPERLINK \l _Toc21500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val="en-US" w:eastAsia="zh-CN"/>
        </w:rPr>
        <w:t>地质灾害分布图</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_Toc21500 \h </w:instrText>
      </w:r>
      <w:r>
        <w:rPr>
          <w:rFonts w:hint="eastAsia" w:ascii="楷体" w:hAnsi="楷体" w:eastAsia="楷体" w:cs="楷体"/>
          <w:sz w:val="24"/>
          <w:szCs w:val="24"/>
        </w:rPr>
        <w:fldChar w:fldCharType="separate"/>
      </w:r>
      <w:r>
        <w:rPr>
          <w:rFonts w:hint="eastAsia" w:ascii="楷体" w:hAnsi="楷体" w:eastAsia="楷体" w:cs="楷体"/>
          <w:sz w:val="24"/>
          <w:szCs w:val="24"/>
        </w:rPr>
        <w:t>- 34 -</w:t>
      </w:r>
      <w:r>
        <w:rPr>
          <w:rFonts w:hint="eastAsia" w:ascii="楷体" w:hAnsi="楷体" w:eastAsia="楷体" w:cs="楷体"/>
          <w:sz w:val="24"/>
          <w:szCs w:val="24"/>
        </w:rPr>
        <w:fldChar w:fldCharType="end"/>
      </w:r>
      <w:r>
        <w:rPr>
          <w:rFonts w:hint="eastAsia" w:ascii="楷体" w:hAnsi="楷体" w:eastAsia="楷体" w:cs="楷体"/>
          <w:sz w:val="24"/>
          <w:szCs w:val="24"/>
          <w:lang w:eastAsia="zh-CN"/>
        </w:rPr>
        <w:fldChar w:fldCharType="end"/>
      </w:r>
    </w:p>
    <w:p>
      <w:pPr>
        <w:rPr>
          <w:rFonts w:hint="eastAsia" w:ascii="宋体" w:hAnsi="宋体" w:eastAsia="宋体" w:cs="宋体"/>
          <w:sz w:val="52"/>
          <w:szCs w:val="52"/>
          <w:lang w:eastAsia="zh-CN"/>
        </w:rPr>
      </w:pPr>
      <w:r>
        <w:rPr>
          <w:rFonts w:hint="eastAsia" w:ascii="宋体" w:hAnsi="宋体" w:eastAsia="宋体" w:cs="宋体"/>
          <w:szCs w:val="52"/>
          <w:lang w:eastAsia="zh-CN"/>
        </w:rPr>
        <w:fldChar w:fldCharType="end"/>
      </w:r>
    </w:p>
    <w:p>
      <w:pPr>
        <w:pStyle w:val="2"/>
        <w:rPr>
          <w:rFonts w:hint="eastAsia" w:ascii="宋体" w:hAnsi="宋体" w:eastAsia="宋体" w:cs="宋体"/>
          <w:sz w:val="52"/>
          <w:szCs w:val="52"/>
          <w:lang w:eastAsia="zh-CN"/>
        </w:rPr>
      </w:pPr>
    </w:p>
    <w:p>
      <w:pPr>
        <w:pStyle w:val="2"/>
        <w:rPr>
          <w:rFonts w:hint="eastAsia" w:ascii="宋体" w:hAnsi="宋体" w:eastAsia="宋体" w:cs="宋体"/>
          <w:sz w:val="52"/>
          <w:szCs w:val="52"/>
          <w:lang w:eastAsia="zh-CN"/>
        </w:rPr>
      </w:pPr>
    </w:p>
    <w:p>
      <w:pPr>
        <w:rPr>
          <w:rFonts w:hint="eastAsia"/>
          <w:lang w:eastAsia="zh-CN"/>
        </w:rPr>
      </w:pPr>
    </w:p>
    <w:p>
      <w:pPr>
        <w:pStyle w:val="3"/>
        <w:keepNext/>
        <w:keepLines/>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方正小标宋_GBK" w:hAnsi="方正小标宋_GBK" w:eastAsia="方正小标宋_GBK" w:cs="方正小标宋_GBK"/>
          <w:b w:val="0"/>
          <w:bCs/>
          <w:sz w:val="44"/>
          <w:szCs w:val="44"/>
          <w:lang w:eastAsia="zh-CN"/>
        </w:rPr>
        <w:sectPr>
          <w:footerReference r:id="rId4" w:type="default"/>
          <w:pgSz w:w="11906" w:h="16838"/>
          <w:pgMar w:top="1440" w:right="1800" w:bottom="1440" w:left="1800" w:header="851" w:footer="992" w:gutter="0"/>
          <w:pgNumType w:fmt="decimal" w:start="1"/>
          <w:cols w:space="720" w:num="1"/>
          <w:docGrid w:type="lines" w:linePitch="312" w:charSpace="0"/>
        </w:sectPr>
      </w:pPr>
      <w:bookmarkStart w:id="0" w:name="_Toc31222"/>
      <w:bookmarkStart w:id="1" w:name="_Toc19700"/>
    </w:p>
    <w:p>
      <w:pPr>
        <w:pStyle w:val="3"/>
        <w:keepNext/>
        <w:keepLines/>
        <w:pageBreakBefore w:val="0"/>
        <w:widowControl w:val="0"/>
        <w:kinsoku/>
        <w:wordWrap/>
        <w:overflowPunct/>
        <w:topLinePunct w:val="0"/>
        <w:autoSpaceDE/>
        <w:autoSpaceDN/>
        <w:bidi w:val="0"/>
        <w:adjustRightInd/>
        <w:snapToGrid/>
        <w:spacing w:before="100" w:beforeAutospacing="1" w:after="100" w:afterAutospacing="1" w:line="560" w:lineRule="exact"/>
        <w:ind w:left="0" w:leftChars="0" w:firstLine="0" w:firstLineChars="0"/>
        <w:textAlignment w:val="auto"/>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1</w:t>
      </w:r>
      <w:r>
        <w:rPr>
          <w:rFonts w:hint="eastAsia" w:ascii="方正小标宋_GBK" w:hAnsi="方正小标宋_GBK" w:eastAsia="方正小标宋_GBK" w:cs="方正小标宋_GBK"/>
          <w:b w:val="0"/>
          <w:bCs/>
          <w:sz w:val="44"/>
          <w:szCs w:val="44"/>
          <w:lang w:val="en-US" w:eastAsia="zh-CN"/>
        </w:rPr>
        <w:t xml:space="preserve"> </w:t>
      </w:r>
      <w:r>
        <w:rPr>
          <w:rFonts w:hint="eastAsia" w:ascii="方正小标宋_GBK" w:hAnsi="方正小标宋_GBK" w:eastAsia="方正小标宋_GBK" w:cs="方正小标宋_GBK"/>
          <w:b w:val="0"/>
          <w:bCs/>
          <w:sz w:val="44"/>
          <w:szCs w:val="44"/>
          <w:lang w:eastAsia="zh-CN"/>
        </w:rPr>
        <w:t>总则</w:t>
      </w:r>
      <w:bookmarkEnd w:id="0"/>
      <w:bookmarkEnd w:id="1"/>
    </w:p>
    <w:p>
      <w:pPr>
        <w:pStyle w:val="4"/>
        <w:keepNext/>
        <w:keepLines/>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eastAsia" w:ascii="黑体" w:hAnsi="黑体" w:eastAsia="黑体" w:cs="黑体"/>
          <w:b w:val="0"/>
          <w:bCs w:val="0"/>
          <w:lang w:eastAsia="zh-CN"/>
        </w:rPr>
      </w:pPr>
      <w:bookmarkStart w:id="2" w:name="_Toc31253"/>
      <w:bookmarkStart w:id="3" w:name="_Toc21550"/>
      <w:bookmarkStart w:id="4" w:name="_Toc4731"/>
      <w:bookmarkStart w:id="5" w:name="_Toc26207"/>
      <w:bookmarkStart w:id="6" w:name="_Toc15163"/>
      <w:bookmarkStart w:id="7" w:name="_Toc8573"/>
      <w:bookmarkStart w:id="8" w:name="_Toc28557"/>
      <w:bookmarkStart w:id="9" w:name="_Toc23436"/>
      <w:bookmarkStart w:id="10" w:name="_Toc727"/>
      <w:bookmarkStart w:id="11" w:name="_Toc1763"/>
      <w:bookmarkStart w:id="12" w:name="_Toc19819"/>
      <w:r>
        <w:rPr>
          <w:rFonts w:hint="eastAsia" w:ascii="黑体" w:hAnsi="黑体" w:eastAsia="黑体" w:cs="黑体"/>
          <w:b w:val="0"/>
          <w:bCs w:val="0"/>
          <w:lang w:eastAsia="zh-CN"/>
        </w:rPr>
        <w:t>1.1</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指导思想</w:t>
      </w:r>
      <w:bookmarkEnd w:id="2"/>
      <w:bookmarkEnd w:id="3"/>
      <w:bookmarkEnd w:id="4"/>
      <w:bookmarkEnd w:id="5"/>
      <w:bookmarkEnd w:id="6"/>
      <w:bookmarkEnd w:id="7"/>
      <w:bookmarkEnd w:id="8"/>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以习近平新时代中国特色社会主义思想为指导，认真贯彻落实习近平总书记关于防灾减灾救灾的重要论述和指示批示精神。坚持以防为主、防抗救相结合，坚持常态救灾、非常态救灾相统一，努力实现从注重灾后救助向灾前预防转变，为进一步加强我区地质灾害防治工作，建立高效科学的地质灾害防治体系，全面推进地质灾害治理体系和治理能力现代化建设提供有力保障。</w:t>
      </w:r>
    </w:p>
    <w:p>
      <w:pPr>
        <w:pStyle w:val="4"/>
        <w:keepNext/>
        <w:keepLines/>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eastAsia" w:ascii="黑体" w:hAnsi="黑体" w:eastAsia="黑体" w:cs="黑体"/>
          <w:b w:val="0"/>
          <w:bCs w:val="0"/>
          <w:lang w:eastAsia="zh-CN"/>
        </w:rPr>
      </w:pPr>
      <w:bookmarkStart w:id="13" w:name="_Toc9952"/>
      <w:bookmarkStart w:id="14" w:name="_Toc32130"/>
      <w:bookmarkStart w:id="15" w:name="_Toc24266"/>
      <w:bookmarkStart w:id="16" w:name="_Toc32188"/>
      <w:bookmarkStart w:id="17" w:name="_Toc26132"/>
      <w:bookmarkStart w:id="18" w:name="_Toc3720"/>
      <w:bookmarkStart w:id="19" w:name="_Toc24923"/>
      <w:bookmarkStart w:id="20" w:name="_Toc20257"/>
      <w:bookmarkStart w:id="21" w:name="_Toc27486"/>
      <w:bookmarkStart w:id="22" w:name="_Toc19618"/>
      <w:bookmarkStart w:id="23" w:name="_Toc2525"/>
      <w:r>
        <w:rPr>
          <w:rFonts w:hint="eastAsia" w:ascii="黑体" w:hAnsi="黑体" w:eastAsia="黑体" w:cs="黑体"/>
          <w:b w:val="0"/>
          <w:bCs w:val="0"/>
          <w:lang w:eastAsia="zh-CN"/>
        </w:rPr>
        <w:t>1.2</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编制依据</w:t>
      </w:r>
      <w:bookmarkEnd w:id="13"/>
      <w:bookmarkEnd w:id="14"/>
      <w:bookmarkEnd w:id="15"/>
      <w:bookmarkEnd w:id="16"/>
      <w:bookmarkEnd w:id="17"/>
      <w:bookmarkEnd w:id="18"/>
      <w:bookmarkEnd w:id="19"/>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依据《中华人民共和国突发事件应对法》、《国家突发地质灾害应急预案》、《地质灾害防治条例》、《广东省地质环境管理条例》、《广东省突发事件应对条例》、《广东省突发地质灾害应急预案》、《清远市突发地质灾害应急预案》等法律法规及有关规定，制定本预案。</w:t>
      </w:r>
    </w:p>
    <w:p>
      <w:pPr>
        <w:pStyle w:val="4"/>
        <w:keepNext/>
        <w:keepLines/>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eastAsia" w:ascii="黑体" w:hAnsi="黑体" w:eastAsia="黑体" w:cs="黑体"/>
          <w:b w:val="0"/>
          <w:bCs w:val="0"/>
          <w:lang w:eastAsia="zh-CN"/>
        </w:rPr>
      </w:pPr>
      <w:bookmarkStart w:id="24" w:name="_Toc7226"/>
      <w:bookmarkStart w:id="25" w:name="_Toc27610"/>
      <w:bookmarkStart w:id="26" w:name="_Toc15157"/>
      <w:bookmarkStart w:id="27" w:name="_Toc17183"/>
      <w:bookmarkStart w:id="28" w:name="_Toc12687"/>
      <w:bookmarkStart w:id="29" w:name="_Toc12201"/>
      <w:bookmarkStart w:id="30" w:name="_Toc30203"/>
      <w:bookmarkStart w:id="31" w:name="_Toc18048"/>
      <w:bookmarkStart w:id="32" w:name="_Toc3337"/>
      <w:bookmarkStart w:id="33" w:name="_Toc305"/>
      <w:bookmarkStart w:id="34" w:name="_Toc22575"/>
      <w:r>
        <w:rPr>
          <w:rFonts w:hint="eastAsia" w:ascii="黑体" w:hAnsi="黑体" w:eastAsia="黑体" w:cs="黑体"/>
          <w:b w:val="0"/>
          <w:bCs w:val="0"/>
          <w:lang w:eastAsia="zh-CN"/>
        </w:rPr>
        <w:t>1.3</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适用范围</w:t>
      </w:r>
      <w:bookmarkEnd w:id="24"/>
      <w:bookmarkEnd w:id="25"/>
      <w:bookmarkEnd w:id="26"/>
      <w:bookmarkEnd w:id="27"/>
      <w:bookmarkEnd w:id="28"/>
      <w:bookmarkEnd w:id="29"/>
      <w:bookmarkEnd w:id="30"/>
      <w:bookmarkEnd w:id="31"/>
      <w:bookmarkEnd w:id="32"/>
      <w:bookmarkEnd w:id="33"/>
      <w:bookmarkEnd w:id="3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本预案适用于清城区行政区域内处置自然因素或者人为活动引发的危害人民生命和财产安全的突发性山体崩塌、滑坡、泥石流、地面塌陷、地裂缝、地面沉降等与地质作用有关的地质灾害。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地震、山洪等灾害引发次生地质灾害的处置，适用有关应急预案的规定。</w:t>
      </w:r>
    </w:p>
    <w:p>
      <w:pPr>
        <w:pStyle w:val="4"/>
        <w:keepNext/>
        <w:keepLines/>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eastAsia" w:ascii="黑体" w:hAnsi="黑体" w:eastAsia="黑体" w:cs="黑体"/>
          <w:b w:val="0"/>
          <w:bCs w:val="0"/>
          <w:lang w:eastAsia="zh-CN"/>
        </w:rPr>
      </w:pPr>
      <w:bookmarkStart w:id="35" w:name="_Toc19234"/>
      <w:bookmarkStart w:id="36" w:name="_Toc10993"/>
      <w:bookmarkStart w:id="37" w:name="_Toc328"/>
      <w:bookmarkStart w:id="38" w:name="_Toc7167"/>
      <w:bookmarkStart w:id="39" w:name="_Toc31917"/>
      <w:bookmarkStart w:id="40" w:name="_Toc6187"/>
      <w:bookmarkStart w:id="41" w:name="_Toc5105"/>
      <w:bookmarkStart w:id="42" w:name="_Toc2539"/>
      <w:bookmarkStart w:id="43" w:name="_Toc21694"/>
      <w:bookmarkStart w:id="44" w:name="_Toc1211"/>
      <w:bookmarkStart w:id="45" w:name="_Toc17383"/>
      <w:r>
        <w:rPr>
          <w:rFonts w:hint="eastAsia" w:ascii="黑体" w:hAnsi="黑体" w:eastAsia="黑体" w:cs="黑体"/>
          <w:b w:val="0"/>
          <w:bCs w:val="0"/>
          <w:lang w:eastAsia="zh-CN"/>
        </w:rPr>
        <w:t>1.4</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工作原则</w:t>
      </w:r>
      <w:bookmarkEnd w:id="35"/>
      <w:bookmarkEnd w:id="36"/>
      <w:bookmarkEnd w:id="37"/>
      <w:bookmarkEnd w:id="38"/>
      <w:bookmarkEnd w:id="39"/>
      <w:bookmarkEnd w:id="40"/>
      <w:bookmarkEnd w:id="41"/>
      <w:bookmarkEnd w:id="42"/>
      <w:bookmarkEnd w:id="43"/>
      <w:bookmarkEnd w:id="44"/>
      <w:bookmarkEnd w:id="4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（1）以人为本，预防为主。牢固树立底线思维，立足防大灾、抗大险，做到关口前移，注重平时防范和减轻灾害风险，建立健全群测群防机制，最大限度减少人员伤亡和财产损失。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（2）统一领导，统分结合。在各级党委、政府统一领导下，有关单位各司其职，密切配合，共同做好突发地质灾害防御和应急处置工作。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（3）属地为主，分级负责。清城区人民政府是应对本区内较大及以上突发地质灾害的主体，街道办事处（镇人民政府）分别是应对本行政区域一般突发地质灾害的主体。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（4）依法规范，分工明确。按照法定职责，细化部门分工，全面落实防灾、减灾、救灾工作任务，确保应急处置工作规范有序、落实到位。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2"/>
          <w:szCs w:val="32"/>
          <w:lang w:eastAsia="zh-CN"/>
        </w:rPr>
        <w:t>（5）</w:t>
      </w:r>
      <w:r>
        <w:rPr>
          <w:rFonts w:hint="eastAsia" w:ascii="仿宋_GB2312" w:hAnsi="仿宋_GB2312" w:eastAsia="仿宋_GB2312" w:cs="仿宋_GB2312"/>
          <w:color w:val="auto"/>
          <w:sz w:val="30"/>
          <w:szCs w:val="30"/>
          <w:lang w:eastAsia="zh-CN"/>
        </w:rPr>
        <w:t>整合资源，协同运作。</w:t>
      </w:r>
      <w:r>
        <w:rPr>
          <w:rFonts w:hint="eastAsia" w:ascii="仿宋_GB2312" w:hAnsi="仿宋_GB2312" w:eastAsia="仿宋_GB2312" w:cs="仿宋_GB2312"/>
          <w:color w:val="auto"/>
          <w:sz w:val="30"/>
          <w:szCs w:val="30"/>
          <w:lang w:val="en-US" w:eastAsia="zh-CN"/>
        </w:rPr>
        <w:t>各级</w:t>
      </w:r>
      <w:r>
        <w:rPr>
          <w:rFonts w:hint="eastAsia" w:ascii="仿宋_GB2312" w:hAnsi="仿宋_GB2312" w:eastAsia="仿宋_GB2312" w:cs="仿宋_GB2312"/>
          <w:color w:val="auto"/>
          <w:sz w:val="30"/>
          <w:szCs w:val="30"/>
          <w:lang w:eastAsia="zh-CN"/>
        </w:rPr>
        <w:t>人民政府及有关单位按照职责分工密切配合、信息互通、资源共享、协同行动，充分发挥武警部队和消防救援、地方综合应急救援及民间救援队伍等在地质灾害应急处置中的作用，建立广泛的社会动员机制。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（6）快速反应，科学处置。善于抓住时机，依靠科技手段和专业力量，精准研判，科学决策，提高地质灾害应急处置的科技水平。</w:t>
      </w:r>
    </w:p>
    <w:p>
      <w:pPr>
        <w:pStyle w:val="2"/>
        <w:rPr>
          <w:lang w:eastAsia="zh-CN"/>
        </w:rPr>
      </w:pPr>
    </w:p>
    <w:p>
      <w:pPr>
        <w:pStyle w:val="3"/>
        <w:keepNext/>
        <w:keepLines/>
        <w:pageBreakBefore w:val="0"/>
        <w:widowControl w:val="0"/>
        <w:kinsoku/>
        <w:wordWrap/>
        <w:overflowPunct/>
        <w:topLinePunct w:val="0"/>
        <w:autoSpaceDE/>
        <w:autoSpaceDN/>
        <w:bidi w:val="0"/>
        <w:adjustRightInd/>
        <w:snapToGrid/>
        <w:spacing w:before="100" w:beforeAutospacing="1" w:after="100" w:afterAutospacing="1" w:line="560" w:lineRule="exact"/>
        <w:ind w:left="0" w:leftChars="0" w:firstLine="0" w:firstLineChars="0"/>
        <w:textAlignment w:val="auto"/>
        <w:rPr>
          <w:rFonts w:hint="eastAsia" w:ascii="方正小标宋_GBK" w:hAnsi="方正小标宋_GBK" w:eastAsia="方正小标宋_GBK" w:cs="方正小标宋_GBK"/>
          <w:b w:val="0"/>
          <w:bCs/>
          <w:sz w:val="44"/>
          <w:szCs w:val="44"/>
          <w:lang w:eastAsia="zh-CN"/>
        </w:rPr>
      </w:pPr>
      <w:bookmarkStart w:id="46" w:name="_Toc19070"/>
      <w:bookmarkStart w:id="47" w:name="_Toc20248"/>
      <w:bookmarkStart w:id="48" w:name="_Toc22511"/>
      <w:bookmarkStart w:id="49" w:name="_Toc13886"/>
      <w:bookmarkStart w:id="50" w:name="_Toc14187"/>
      <w:bookmarkStart w:id="51" w:name="_Toc13730"/>
      <w:bookmarkStart w:id="52" w:name="_Toc10921"/>
      <w:bookmarkStart w:id="53" w:name="_Toc25579"/>
      <w:bookmarkStart w:id="54" w:name="_Toc16927"/>
      <w:bookmarkStart w:id="55" w:name="_Toc4433"/>
      <w:bookmarkStart w:id="56" w:name="_Toc31623"/>
      <w:bookmarkStart w:id="57" w:name="_Toc21031"/>
      <w:bookmarkStart w:id="58" w:name="_Toc18863"/>
      <w:bookmarkStart w:id="59" w:name="_Toc32615"/>
      <w:bookmarkStart w:id="60" w:name="_Toc28223"/>
      <w:r>
        <w:rPr>
          <w:rFonts w:hint="eastAsia" w:ascii="方正小标宋_GBK" w:hAnsi="方正小标宋_GBK" w:eastAsia="方正小标宋_GBK" w:cs="方正小标宋_GBK"/>
          <w:b w:val="0"/>
          <w:bCs/>
          <w:sz w:val="44"/>
          <w:szCs w:val="44"/>
          <w:lang w:eastAsia="zh-CN"/>
        </w:rPr>
        <w:t>2</w:t>
      </w:r>
      <w:r>
        <w:rPr>
          <w:rFonts w:hint="eastAsia" w:ascii="方正小标宋_GBK" w:hAnsi="方正小标宋_GBK" w:eastAsia="方正小标宋_GBK" w:cs="方正小标宋_GBK"/>
          <w:b w:val="0"/>
          <w:bCs/>
          <w:sz w:val="44"/>
          <w:szCs w:val="44"/>
          <w:lang w:val="en-US" w:eastAsia="zh-CN"/>
        </w:rPr>
        <w:t xml:space="preserve"> </w:t>
      </w:r>
      <w:r>
        <w:rPr>
          <w:rFonts w:hint="eastAsia" w:ascii="方正小标宋_GBK" w:hAnsi="方正小标宋_GBK" w:eastAsia="方正小标宋_GBK" w:cs="方正小标宋_GBK"/>
          <w:b w:val="0"/>
          <w:bCs/>
          <w:sz w:val="44"/>
          <w:szCs w:val="44"/>
          <w:lang w:eastAsia="zh-CN"/>
        </w:rPr>
        <w:t>组织体系</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4"/>
        <w:keepNext/>
        <w:keepLines/>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eastAsia" w:ascii="黑体" w:hAnsi="黑体" w:eastAsia="黑体" w:cs="黑体"/>
          <w:b w:val="0"/>
          <w:bCs w:val="0"/>
          <w:lang w:eastAsia="zh-CN"/>
        </w:rPr>
      </w:pPr>
      <w:bookmarkStart w:id="61" w:name="_Toc28689"/>
      <w:bookmarkStart w:id="62" w:name="_Toc8084"/>
      <w:bookmarkStart w:id="63" w:name="_Toc17563"/>
      <w:bookmarkStart w:id="64" w:name="_Toc30956"/>
      <w:bookmarkStart w:id="65" w:name="_Toc14525"/>
      <w:bookmarkStart w:id="66" w:name="_Toc17473"/>
      <w:bookmarkStart w:id="67" w:name="_Toc22938"/>
      <w:bookmarkStart w:id="68" w:name="_Toc17998"/>
      <w:bookmarkStart w:id="69" w:name="_Toc9544"/>
      <w:bookmarkStart w:id="70" w:name="_Toc1834"/>
      <w:bookmarkStart w:id="71" w:name="_Toc10097"/>
      <w:bookmarkStart w:id="72" w:name="_Toc12411"/>
      <w:bookmarkStart w:id="73" w:name="_Toc9422"/>
      <w:bookmarkStart w:id="74" w:name="_Toc16232"/>
      <w:bookmarkStart w:id="75" w:name="_Toc5138"/>
      <w:bookmarkStart w:id="76" w:name="_Toc32318"/>
      <w:r>
        <w:rPr>
          <w:rFonts w:hint="eastAsia" w:ascii="黑体" w:hAnsi="黑体" w:eastAsia="黑体" w:cs="黑体"/>
          <w:b w:val="0"/>
          <w:bCs w:val="0"/>
          <w:lang w:eastAsia="zh-CN"/>
        </w:rPr>
        <w:t>2.1</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区突发地质灾害应急指挥</w:t>
      </w:r>
      <w:bookmarkEnd w:id="61"/>
      <w:bookmarkEnd w:id="62"/>
      <w:bookmarkEnd w:id="63"/>
      <w:bookmarkEnd w:id="64"/>
      <w:bookmarkEnd w:id="65"/>
      <w:r>
        <w:rPr>
          <w:rFonts w:hint="eastAsia" w:ascii="黑体" w:hAnsi="黑体" w:eastAsia="黑体" w:cs="黑体"/>
          <w:b w:val="0"/>
          <w:bCs w:val="0"/>
          <w:lang w:eastAsia="zh-CN"/>
        </w:rPr>
        <w:t>机构</w:t>
      </w:r>
      <w:bookmarkEnd w:id="66"/>
      <w:bookmarkEnd w:id="67"/>
      <w:bookmarkEnd w:id="68"/>
      <w:bookmarkEnd w:id="69"/>
      <w:bookmarkEnd w:id="70"/>
      <w:bookmarkEnd w:id="71"/>
      <w:bookmarkEnd w:id="72"/>
      <w:bookmarkEnd w:id="73"/>
      <w:bookmarkEnd w:id="74"/>
      <w:bookmarkEnd w:id="75"/>
      <w:bookmarkEnd w:id="7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发生较大及以上地质灾害后，在区人民政府的统一领导下成立区突发地质灾害应急指挥部（以下简称区指挥部），负责组织、指挥、指导、协调、监督全区开展地质灾害应急管理工作，统一领导、指挥</w:t>
      </w:r>
      <w:r>
        <w:rPr>
          <w:rFonts w:hint="eastAsia" w:ascii="仿宋_GB2312" w:hAnsi="仿宋_GB2312" w:eastAsia="仿宋_GB2312" w:cs="仿宋_GB2312"/>
          <w:color w:val="auto"/>
          <w:sz w:val="32"/>
          <w:szCs w:val="32"/>
          <w:lang w:val="en-US" w:eastAsia="zh-CN"/>
        </w:rPr>
        <w:t>和协调</w:t>
      </w:r>
      <w:r>
        <w:rPr>
          <w:rFonts w:hint="eastAsia" w:ascii="仿宋_GB2312" w:hAnsi="仿宋_GB2312" w:eastAsia="仿宋_GB2312" w:cs="仿宋_GB2312"/>
          <w:color w:val="auto"/>
          <w:sz w:val="32"/>
          <w:szCs w:val="32"/>
          <w:lang w:eastAsia="zh-CN"/>
        </w:rPr>
        <w:t>全区突发地质灾害抢险救灾工作。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职责：贯彻落实党中央、国务院及应急管理部、省委省政府及省应急管理厅、市委市政府和区委区政府关于地质灾害防御和应急救援的有关决策部署，研究制定全区地质灾害应急救援的有关重要政策措施；指导开展地质灾害预报预警监测；组织险情、灾情会商研判，以及地质灾害调查评估工作；按要求报请市人民政府启动I级应急响应，报请市指挥部启动Ⅱ级应急响应，报请区人民政府区启动Ⅲ级应急响应，决定启动Ⅳ级地质灾害应急响应；统一指挥区内突发地质灾害的应急救援工作，协调组织武警部队和消防救援、地方综合应急救援及民间救援队伍等队伍参与抢险救灾；组织开展地质灾害灾情和救援信息上报，以及地质灾害舆情应对工作；组织指导灾区开展生产自救和灾后恢复重建等工作；协调、指导、监督各成员单位、各镇（街道）及其应急救援指挥机构开展地质灾害应急救援工作；研究决定全区地质灾害防御和应急救援的其他重大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指挥长：区政府分管应急管理工作副区长（必要时，由区委区政府主要领导担任指挥长）。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副指挥长：区政府协调应急管理工作的副主任、区应急管理局局长、</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lang w:eastAsia="zh-CN"/>
        </w:rPr>
        <w:t>自然资源局清城分局局长。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成员：区委宣传部、区委台港澳办、区发展改革局、区教育局、区工业和信息化局、市公安局清城分局、区司法局、区财政局、区人力资源社会保障局、市自然资源局清城分局、市生态环境局清城分局、区住房城乡建设局、区交通运输局、区水利局、区农业农村局、区文化广电旅游体育局、区卫生健康局、区应急管理局、区市场监督管理局、区新闻信息中心、广东电网公司清城供电局、区消防救援大队、团区委、清城海事处、武警清远支队一大队等单位主要负责人或分管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各成员单位任务分工见附件。</w:t>
      </w:r>
    </w:p>
    <w:p>
      <w:pPr>
        <w:pStyle w:val="4"/>
        <w:keepNext/>
        <w:keepLines/>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eastAsia" w:ascii="黑体" w:hAnsi="黑体" w:eastAsia="黑体" w:cs="黑体"/>
          <w:b w:val="0"/>
          <w:bCs w:val="0"/>
          <w:lang w:eastAsia="zh-CN"/>
        </w:rPr>
      </w:pPr>
      <w:bookmarkStart w:id="77" w:name="_Toc28831"/>
      <w:bookmarkStart w:id="78" w:name="_Toc27026"/>
      <w:bookmarkStart w:id="79" w:name="_Toc17993"/>
      <w:bookmarkStart w:id="80" w:name="_Toc25112"/>
      <w:bookmarkStart w:id="81" w:name="_Toc9421"/>
      <w:bookmarkStart w:id="82" w:name="_Toc306"/>
      <w:bookmarkStart w:id="83" w:name="_Toc12640"/>
      <w:bookmarkStart w:id="84" w:name="_Toc32387"/>
      <w:bookmarkStart w:id="85" w:name="_Toc32293"/>
      <w:bookmarkStart w:id="86" w:name="_Toc9697"/>
      <w:bookmarkStart w:id="87" w:name="_Toc20048"/>
      <w:r>
        <w:rPr>
          <w:rFonts w:hint="eastAsia" w:ascii="黑体" w:hAnsi="黑体" w:eastAsia="黑体" w:cs="黑体"/>
          <w:b w:val="0"/>
          <w:bCs w:val="0"/>
          <w:lang w:eastAsia="zh-CN"/>
        </w:rPr>
        <w:t>2.2</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区突发地质灾害应急指挥部办公室</w:t>
      </w:r>
      <w:bookmarkEnd w:id="77"/>
      <w:bookmarkEnd w:id="78"/>
      <w:bookmarkEnd w:id="79"/>
      <w:bookmarkEnd w:id="80"/>
      <w:bookmarkEnd w:id="81"/>
      <w:bookmarkEnd w:id="82"/>
      <w:bookmarkEnd w:id="83"/>
      <w:bookmarkEnd w:id="84"/>
      <w:bookmarkEnd w:id="85"/>
      <w:bookmarkEnd w:id="86"/>
      <w:bookmarkEnd w:id="8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指挥部办公室设在区应急管理局，承担区指挥部日常工作。办公室主任由区应急管理局局长担任，副主任分别由市自然资源局清城分局、区消防救援大队有关负责人担任。区指挥部成员因工作变动等需要调整的，由所在单位向区指挥部办公室提出，报指挥长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职责：贯彻落实区指挥部各项工作部署；协调区指挥部各成员单位、各镇（街道）及其应急救援指挥机构开展应急救援工作；负责汇总、上报有关地质灾害灾情、险情和应急救援信息；组织相关单位参与险情、灾情会商研判，提出启动、终止地质灾害应急响应建议及应急处置方案；根据区指挥部要求，组织现场工作组赶赴灾区指导开展应急救援处置工作；负责起草区指挥部有关文电和领导讲话材料，编报险情灾情及救援信息简报；协调督促区指挥部各工作组开展应急救援抢险工作，根据区指挥部领导的部署要求协调相关单位参与应急处置工作；承担区指挥部领导交办的其他工作。</w:t>
      </w:r>
    </w:p>
    <w:p>
      <w:pPr>
        <w:pStyle w:val="4"/>
        <w:keepNext/>
        <w:keepLines/>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eastAsia" w:ascii="黑体" w:hAnsi="黑体" w:eastAsia="黑体" w:cs="黑体"/>
          <w:b w:val="0"/>
          <w:bCs w:val="0"/>
          <w:lang w:eastAsia="zh-CN"/>
        </w:rPr>
      </w:pPr>
      <w:bookmarkStart w:id="88" w:name="_Toc24819"/>
      <w:bookmarkStart w:id="89" w:name="_Toc28679"/>
      <w:bookmarkStart w:id="90" w:name="_Toc19071"/>
      <w:bookmarkStart w:id="91" w:name="_Toc21187"/>
      <w:bookmarkStart w:id="92" w:name="_Toc26451"/>
      <w:bookmarkStart w:id="93" w:name="_Toc29486"/>
      <w:bookmarkStart w:id="94" w:name="_Toc28698"/>
      <w:bookmarkStart w:id="95" w:name="_Toc26509"/>
      <w:bookmarkStart w:id="96" w:name="_Toc13725"/>
      <w:bookmarkStart w:id="97" w:name="_Toc32259"/>
      <w:bookmarkStart w:id="98" w:name="_Toc6009"/>
      <w:r>
        <w:rPr>
          <w:rFonts w:hint="eastAsia" w:ascii="黑体" w:hAnsi="黑体" w:eastAsia="黑体" w:cs="黑体"/>
          <w:b w:val="0"/>
          <w:bCs w:val="0"/>
          <w:lang w:eastAsia="zh-CN"/>
        </w:rPr>
        <w:t>2.3</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镇（街道）地质灾害应急指挥机构</w:t>
      </w:r>
      <w:bookmarkEnd w:id="88"/>
      <w:bookmarkEnd w:id="89"/>
      <w:bookmarkEnd w:id="90"/>
      <w:bookmarkEnd w:id="91"/>
      <w:bookmarkEnd w:id="92"/>
      <w:bookmarkEnd w:id="93"/>
      <w:bookmarkEnd w:id="94"/>
      <w:bookmarkEnd w:id="95"/>
      <w:bookmarkEnd w:id="96"/>
      <w:bookmarkEnd w:id="97"/>
      <w:bookmarkEnd w:id="9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镇（街道）地质灾害应急指挥机构负责统一领导、指挥和协调本行政区域的突发地质灾害应急救援工作。地方有关部门和单位、当地武警部队、民兵和消防救援队伍等，按照职责分工，各负其责，密切配合，共同做好突发地质灾害应急救援工作。</w:t>
      </w:r>
    </w:p>
    <w:p>
      <w:pPr>
        <w:pStyle w:val="2"/>
        <w:rPr>
          <w:lang w:eastAsia="zh-CN"/>
        </w:rPr>
      </w:pPr>
    </w:p>
    <w:p>
      <w:pPr>
        <w:pStyle w:val="3"/>
        <w:keepNext/>
        <w:keepLines/>
        <w:pageBreakBefore w:val="0"/>
        <w:widowControl w:val="0"/>
        <w:kinsoku/>
        <w:wordWrap/>
        <w:overflowPunct/>
        <w:topLinePunct w:val="0"/>
        <w:autoSpaceDE/>
        <w:autoSpaceDN/>
        <w:bidi w:val="0"/>
        <w:adjustRightInd/>
        <w:snapToGrid/>
        <w:spacing w:before="100" w:beforeAutospacing="1" w:after="100" w:afterAutospacing="1" w:line="560" w:lineRule="exact"/>
        <w:ind w:left="0" w:leftChars="0" w:firstLine="0" w:firstLineChars="0"/>
        <w:textAlignment w:val="auto"/>
        <w:rPr>
          <w:rFonts w:hint="eastAsia" w:ascii="方正小标宋_GBK" w:hAnsi="方正小标宋_GBK" w:eastAsia="方正小标宋_GBK" w:cs="方正小标宋_GBK"/>
          <w:b w:val="0"/>
          <w:bCs/>
          <w:sz w:val="44"/>
          <w:szCs w:val="44"/>
          <w:lang w:eastAsia="zh-CN"/>
        </w:rPr>
      </w:pPr>
      <w:bookmarkStart w:id="99" w:name="_Toc22108"/>
      <w:bookmarkStart w:id="100" w:name="_Toc3961"/>
      <w:bookmarkStart w:id="101" w:name="_Toc15"/>
      <w:bookmarkStart w:id="102" w:name="_Toc26562"/>
      <w:bookmarkStart w:id="103" w:name="_Toc4146"/>
      <w:bookmarkStart w:id="104" w:name="_Toc5565"/>
      <w:bookmarkStart w:id="105" w:name="_Toc25100"/>
      <w:bookmarkStart w:id="106" w:name="_Toc16139"/>
      <w:bookmarkStart w:id="107" w:name="_Toc30677"/>
      <w:bookmarkStart w:id="108" w:name="_Toc27841"/>
      <w:bookmarkStart w:id="109" w:name="_Toc4834"/>
      <w:bookmarkStart w:id="110" w:name="_Toc6946"/>
      <w:bookmarkStart w:id="111" w:name="_Toc21128"/>
      <w:bookmarkStart w:id="112" w:name="_Toc18081"/>
      <w:bookmarkStart w:id="113" w:name="_Toc12913"/>
      <w:r>
        <w:rPr>
          <w:rFonts w:hint="eastAsia" w:ascii="方正小标宋_GBK" w:hAnsi="方正小标宋_GBK" w:eastAsia="方正小标宋_GBK" w:cs="方正小标宋_GBK"/>
          <w:b w:val="0"/>
          <w:bCs/>
          <w:sz w:val="44"/>
          <w:szCs w:val="44"/>
          <w:lang w:eastAsia="zh-CN"/>
        </w:rPr>
        <w:t>3</w:t>
      </w:r>
      <w:r>
        <w:rPr>
          <w:rFonts w:hint="eastAsia" w:ascii="方正小标宋_GBK" w:hAnsi="方正小标宋_GBK" w:eastAsia="方正小标宋_GBK" w:cs="方正小标宋_GBK"/>
          <w:b w:val="0"/>
          <w:bCs/>
          <w:sz w:val="44"/>
          <w:szCs w:val="44"/>
          <w:lang w:val="en-US" w:eastAsia="zh-CN"/>
        </w:rPr>
        <w:t xml:space="preserve"> </w:t>
      </w:r>
      <w:r>
        <w:rPr>
          <w:rFonts w:hint="eastAsia" w:ascii="方正小标宋_GBK" w:hAnsi="方正小标宋_GBK" w:eastAsia="方正小标宋_GBK" w:cs="方正小标宋_GBK"/>
          <w:b w:val="0"/>
          <w:bCs/>
          <w:sz w:val="44"/>
          <w:szCs w:val="44"/>
          <w:lang w:eastAsia="zh-CN"/>
        </w:rPr>
        <w:t>运行机制</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4"/>
        <w:keepNext/>
        <w:keepLines/>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default" w:ascii="黑体" w:hAnsi="黑体" w:eastAsia="黑体" w:cs="黑体"/>
          <w:b w:val="0"/>
          <w:bCs w:val="0"/>
          <w:lang w:val="en-US" w:eastAsia="zh-CN"/>
        </w:rPr>
      </w:pPr>
      <w:bookmarkStart w:id="114" w:name="_Toc22457"/>
      <w:bookmarkStart w:id="115" w:name="_Toc15553"/>
      <w:bookmarkStart w:id="116" w:name="_Toc2837"/>
      <w:bookmarkStart w:id="117" w:name="_Toc17908"/>
      <w:bookmarkStart w:id="118" w:name="_Toc26608"/>
      <w:bookmarkStart w:id="119" w:name="_Toc21903"/>
      <w:bookmarkStart w:id="120" w:name="_Toc29666"/>
      <w:bookmarkStart w:id="121" w:name="_Toc8402"/>
      <w:bookmarkStart w:id="122" w:name="_Toc17348"/>
      <w:bookmarkStart w:id="123" w:name="_Toc30475"/>
      <w:bookmarkStart w:id="124" w:name="_Toc28930"/>
      <w:bookmarkStart w:id="125" w:name="_Toc27078"/>
      <w:bookmarkStart w:id="126" w:name="_Toc12933"/>
      <w:bookmarkStart w:id="127" w:name="_Toc30583"/>
      <w:bookmarkStart w:id="128" w:name="_Toc20343"/>
      <w:bookmarkStart w:id="129" w:name="_Toc9120"/>
      <w:r>
        <w:rPr>
          <w:rFonts w:hint="eastAsia" w:ascii="黑体" w:hAnsi="黑体" w:eastAsia="黑体" w:cs="黑体"/>
          <w:b w:val="0"/>
          <w:bCs w:val="0"/>
          <w:lang w:val="en-US" w:eastAsia="zh-CN"/>
        </w:rPr>
        <w:t>3.</w:t>
      </w:r>
      <w:r>
        <w:rPr>
          <w:rFonts w:hint="eastAsia" w:ascii="黑体" w:hAnsi="黑体" w:eastAsia="黑体" w:cs="黑体"/>
          <w:b w:val="0"/>
          <w:bCs w:val="0"/>
          <w:lang w:eastAsia="zh-CN"/>
        </w:rPr>
        <w:t>1</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预防</w:t>
      </w:r>
      <w:bookmarkEnd w:id="114"/>
      <w:bookmarkEnd w:id="115"/>
      <w:bookmarkEnd w:id="116"/>
      <w:bookmarkEnd w:id="117"/>
      <w:bookmarkEnd w:id="118"/>
      <w:r>
        <w:rPr>
          <w:rFonts w:hint="eastAsia" w:ascii="黑体" w:hAnsi="黑体" w:eastAsia="黑体" w:cs="黑体"/>
          <w:b w:val="0"/>
          <w:bCs w:val="0"/>
          <w:lang w:val="en-US" w:eastAsia="zh-CN"/>
        </w:rPr>
        <w:t>监测评估</w:t>
      </w:r>
      <w:bookmarkEnd w:id="119"/>
      <w:bookmarkEnd w:id="120"/>
      <w:bookmarkEnd w:id="121"/>
      <w:bookmarkEnd w:id="122"/>
      <w:bookmarkEnd w:id="123"/>
      <w:bookmarkEnd w:id="124"/>
      <w:bookmarkEnd w:id="125"/>
      <w:bookmarkEnd w:id="126"/>
      <w:bookmarkEnd w:id="127"/>
      <w:bookmarkEnd w:id="128"/>
      <w:bookmarkEnd w:id="129"/>
    </w:p>
    <w:p>
      <w:pPr>
        <w:pStyle w:val="5"/>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2"/>
        <w:rPr>
          <w:rFonts w:hint="eastAsia" w:ascii="楷体_GB2312" w:hAnsi="楷体_GB2312" w:eastAsia="楷体_GB2312" w:cs="楷体_GB2312"/>
          <w:b w:val="0"/>
          <w:bCs/>
          <w:lang w:eastAsia="zh-CN"/>
        </w:rPr>
      </w:pPr>
      <w:bookmarkStart w:id="130" w:name="_Toc293"/>
      <w:bookmarkStart w:id="131" w:name="_Toc26641"/>
      <w:bookmarkStart w:id="132" w:name="_Toc25264"/>
      <w:bookmarkStart w:id="133" w:name="_Toc2275"/>
      <w:bookmarkStart w:id="134" w:name="_Toc22090"/>
      <w:bookmarkStart w:id="135" w:name="_Toc19640"/>
      <w:bookmarkStart w:id="136" w:name="_Toc32613"/>
      <w:bookmarkStart w:id="137" w:name="_Toc13394"/>
      <w:bookmarkStart w:id="138" w:name="_Toc7363"/>
      <w:bookmarkStart w:id="139" w:name="_Toc22026"/>
      <w:bookmarkStart w:id="140" w:name="_Toc14079"/>
      <w:bookmarkStart w:id="141" w:name="_Toc680"/>
      <w:bookmarkStart w:id="142" w:name="_Toc25246"/>
      <w:bookmarkStart w:id="143" w:name="_Toc27187"/>
      <w:bookmarkStart w:id="144" w:name="_Toc27930"/>
      <w:bookmarkStart w:id="145" w:name="_Toc2045"/>
      <w:r>
        <w:rPr>
          <w:rFonts w:hint="eastAsia" w:ascii="楷体_GB2312" w:hAnsi="楷体_GB2312" w:eastAsia="楷体_GB2312" w:cs="楷体_GB2312"/>
          <w:b w:val="0"/>
          <w:bCs/>
          <w:lang w:eastAsia="zh-CN"/>
        </w:rPr>
        <w:t>3.1.1</w:t>
      </w:r>
      <w:r>
        <w:rPr>
          <w:rFonts w:hint="eastAsia" w:ascii="楷体_GB2312" w:hAnsi="楷体_GB2312" w:eastAsia="楷体_GB2312" w:cs="楷体_GB2312"/>
          <w:b w:val="0"/>
          <w:bCs/>
          <w:lang w:val="en-US" w:eastAsia="zh-CN"/>
        </w:rPr>
        <w:t xml:space="preserve"> </w:t>
      </w:r>
      <w:r>
        <w:rPr>
          <w:rFonts w:hint="eastAsia" w:ascii="楷体_GB2312" w:hAnsi="楷体_GB2312" w:eastAsia="楷体_GB2312" w:cs="楷体_GB2312"/>
          <w:b w:val="0"/>
          <w:bCs/>
          <w:lang w:eastAsia="zh-CN"/>
        </w:rPr>
        <w:t>预防</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编制年度地质灾害防治方案。区自然资源部门在开展地质灾害调查的基础上，会同区突发地质灾害应急指挥机构有关成员单位，依据地质灾害防治规划，结合气象预测信息，每年年初拟订年度地质灾害防治方案，报经区人民政府批准后公布实施；也可依据区人民政府批准的跨年度防治方案（如地质灾害防治三年行动方案）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建立地质灾害监测系统。区自然资源部门要会同住房城乡建设、交通运输、水利、教育、卫生健康、人力资源、文化旅游、铁路等部门，根据本地区地质灾害区、隐患点和风险点，建立健全地质灾害群测群防网络和专业监测网络，形成覆盖全区的地质灾害监测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w:t>
      </w:r>
      <w:r>
        <w:rPr>
          <w:rFonts w:hint="eastAsia" w:ascii="仿宋_GB2312" w:hAnsi="仿宋_GB2312" w:eastAsia="仿宋_GB2312" w:cs="仿宋_GB2312"/>
          <w:b w:val="0"/>
          <w:bCs w:val="0"/>
          <w:color w:val="auto"/>
          <w:sz w:val="32"/>
          <w:szCs w:val="32"/>
          <w:lang w:eastAsia="zh-CN"/>
        </w:rPr>
        <w:t>发放“防灾明白卡”。</w:t>
      </w:r>
      <w:r>
        <w:rPr>
          <w:rFonts w:hint="eastAsia" w:ascii="仿宋_GB2312" w:hAnsi="仿宋_GB2312" w:eastAsia="仿宋_GB2312" w:cs="仿宋_GB2312"/>
          <w:color w:val="auto"/>
          <w:sz w:val="32"/>
          <w:szCs w:val="32"/>
          <w:lang w:eastAsia="zh-CN"/>
        </w:rPr>
        <w:t>各镇（街道）要将当地地质灾害区、隐患点和风险点的群测群防工作落实到各村委以及农村集体经济组织（社区），并将涉及地质灾害防范措施的“防治工作明白卡”和“防灾避险明白卡”分别发放到受灾害隐患威胁的单位、居民以及防灾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鼓励报灾报险。鼓励、支持群众和单位通过信件、电话、短信等各种形式向当地人民政府及其主管部门、有关地质灾害防治机构报告地质灾害信息。有关监测单位或监测人发现地质灾害灾情或险情时，要按照突发地质灾害分级标准报告相关自然资源部门和应急管理部门，自然资源和应急管理部门要及时共享灾情险情信息。</w:t>
      </w:r>
    </w:p>
    <w:p>
      <w:pPr>
        <w:pStyle w:val="5"/>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2"/>
        <w:rPr>
          <w:rFonts w:hint="eastAsia" w:ascii="楷体_GB2312" w:hAnsi="楷体_GB2312" w:eastAsia="楷体_GB2312" w:cs="楷体_GB2312"/>
          <w:b w:val="0"/>
          <w:bCs/>
          <w:lang w:eastAsia="zh-CN"/>
        </w:rPr>
      </w:pPr>
      <w:bookmarkStart w:id="146" w:name="_Toc5994"/>
      <w:bookmarkStart w:id="147" w:name="_Toc9888"/>
      <w:bookmarkStart w:id="148" w:name="_Toc19535"/>
      <w:bookmarkStart w:id="149" w:name="_Toc30942"/>
      <w:bookmarkStart w:id="150" w:name="_Toc2581"/>
      <w:bookmarkStart w:id="151" w:name="_Toc12830"/>
      <w:bookmarkStart w:id="152" w:name="_Toc27314"/>
      <w:bookmarkStart w:id="153" w:name="_Toc26840"/>
      <w:bookmarkStart w:id="154" w:name="_Toc23526"/>
      <w:bookmarkStart w:id="155" w:name="_Toc841"/>
      <w:bookmarkStart w:id="156" w:name="_Toc4157"/>
      <w:bookmarkStart w:id="157" w:name="_Toc32564"/>
      <w:bookmarkStart w:id="158" w:name="_Toc30816"/>
      <w:bookmarkStart w:id="159" w:name="_Toc7402"/>
      <w:bookmarkStart w:id="160" w:name="_Toc5733"/>
      <w:bookmarkStart w:id="161" w:name="_Toc9742"/>
      <w:r>
        <w:rPr>
          <w:rFonts w:hint="eastAsia" w:ascii="楷体_GB2312" w:hAnsi="楷体_GB2312" w:eastAsia="楷体_GB2312" w:cs="楷体_GB2312"/>
          <w:b w:val="0"/>
          <w:bCs/>
          <w:lang w:eastAsia="zh-CN"/>
        </w:rPr>
        <w:t>3.1.2</w:t>
      </w:r>
      <w:r>
        <w:rPr>
          <w:rFonts w:hint="eastAsia" w:ascii="楷体_GB2312" w:hAnsi="楷体_GB2312" w:eastAsia="楷体_GB2312" w:cs="楷体_GB2312"/>
          <w:b w:val="0"/>
          <w:bCs/>
          <w:lang w:val="en-US" w:eastAsia="zh-CN"/>
        </w:rPr>
        <w:t xml:space="preserve"> </w:t>
      </w:r>
      <w:r>
        <w:rPr>
          <w:rFonts w:hint="eastAsia" w:ascii="楷体_GB2312" w:hAnsi="楷体_GB2312" w:eastAsia="楷体_GB2312" w:cs="楷体_GB2312"/>
          <w:b w:val="0"/>
          <w:bCs/>
          <w:lang w:eastAsia="zh-CN"/>
        </w:rPr>
        <w:t>监测</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bookmarkStart w:id="162" w:name="_Toc32704"/>
      <w:bookmarkStart w:id="163" w:name="_Toc11833"/>
      <w:bookmarkStart w:id="164" w:name="_Toc8145"/>
      <w:bookmarkStart w:id="165" w:name="_Toc10476"/>
      <w:bookmarkStart w:id="166" w:name="_Toc16772"/>
      <w:r>
        <w:rPr>
          <w:rFonts w:hint="eastAsia" w:ascii="仿宋_GB2312" w:hAnsi="仿宋_GB2312" w:eastAsia="仿宋_GB2312" w:cs="仿宋_GB2312"/>
          <w:color w:val="auto"/>
          <w:sz w:val="32"/>
          <w:szCs w:val="32"/>
          <w:lang w:eastAsia="zh-CN"/>
        </w:rPr>
        <w:t>（1）各镇（街道）要充分发挥地质灾害群测群防和专业监测网络的作用，每年汛期前，自然资源、住房城乡建设、交通运输、水利、铁路等单位根据职责开展地质灾害隐患巡查、排查，发现险情及时报告，落实监测单位和监测人；汛中、汛后定期或不定期开展检查，加强对地质灾害重点地区的监测和防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区应急管理局应向社会公布报灾电话。接到特别重大、重大地质灾害灾情信息后，要迅速组织处理，并将情况报告区指挥部办公室和市自然资源局清城分局。区指挥部办公室接报后，要初步核实灾情，及时研判，并报告区人民政府。必要时，区应急管理局会同市自然资源局清城分局立即派员赶赴灾害现场，进一步查明情况，指导、协助当地人民政府妥善开展应急处置。</w:t>
      </w:r>
    </w:p>
    <w:p>
      <w:pPr>
        <w:pStyle w:val="5"/>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2"/>
        <w:rPr>
          <w:rFonts w:hint="eastAsia" w:ascii="楷体_GB2312" w:hAnsi="楷体_GB2312" w:eastAsia="楷体_GB2312" w:cs="楷体_GB2312"/>
          <w:b w:val="0"/>
          <w:bCs/>
          <w:lang w:eastAsia="zh-CN"/>
        </w:rPr>
      </w:pPr>
      <w:bookmarkStart w:id="167" w:name="_Toc3920"/>
      <w:bookmarkStart w:id="168" w:name="_Toc28121"/>
      <w:bookmarkStart w:id="169" w:name="_Toc12443"/>
      <w:bookmarkStart w:id="170" w:name="_Toc22271"/>
      <w:bookmarkStart w:id="171" w:name="_Toc29838"/>
      <w:bookmarkStart w:id="172" w:name="_Toc1371"/>
      <w:bookmarkStart w:id="173" w:name="_Toc2675"/>
      <w:bookmarkStart w:id="174" w:name="_Toc7213"/>
      <w:bookmarkStart w:id="175" w:name="_Toc2271"/>
      <w:bookmarkStart w:id="176" w:name="_Toc19149"/>
      <w:bookmarkStart w:id="177" w:name="_Toc21257"/>
      <w:r>
        <w:rPr>
          <w:rFonts w:hint="eastAsia" w:ascii="楷体_GB2312" w:hAnsi="楷体_GB2312" w:eastAsia="楷体_GB2312" w:cs="楷体_GB2312"/>
          <w:b w:val="0"/>
          <w:bCs/>
          <w:lang w:eastAsia="zh-CN"/>
        </w:rPr>
        <w:t>3.1.3</w:t>
      </w:r>
      <w:r>
        <w:rPr>
          <w:rFonts w:hint="eastAsia" w:ascii="楷体_GB2312" w:hAnsi="楷体_GB2312" w:eastAsia="楷体_GB2312" w:cs="楷体_GB2312"/>
          <w:b w:val="0"/>
          <w:bCs/>
          <w:lang w:val="en-US" w:eastAsia="zh-CN"/>
        </w:rPr>
        <w:t xml:space="preserve"> </w:t>
      </w:r>
      <w:r>
        <w:rPr>
          <w:rFonts w:hint="eastAsia" w:ascii="楷体_GB2312" w:hAnsi="楷体_GB2312" w:eastAsia="楷体_GB2312" w:cs="楷体_GB2312"/>
          <w:b w:val="0"/>
          <w:bCs/>
          <w:lang w:eastAsia="zh-CN"/>
        </w:rPr>
        <w:t>评估</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市自然资源局清城分局要会同有关单位建立健全地质灾害风险评估机制，定期或不定期组织对地质灾害风险进行评估，明确地质灾害防范和应对措施。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地质灾害风险主要包括危害人民群众生命安全风险，破坏城镇、农村、企业、房屋等重要建筑设施及室内财产风险，破坏生命线工程风险，破坏水利工程风险，破坏森林、树木、农作物及土地资源风险等。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2"/>
        <w:rPr>
          <w:rFonts w:hint="eastAsia" w:ascii="仿宋_GB2312" w:hAnsi="仿宋_GB2312" w:eastAsia="仿宋_GB2312" w:cs="仿宋_GB2312"/>
          <w:b/>
          <w:bCs/>
          <w:color w:val="auto"/>
          <w:sz w:val="32"/>
          <w:szCs w:val="32"/>
          <w:lang w:eastAsia="zh-CN"/>
        </w:rPr>
      </w:pPr>
      <w:bookmarkStart w:id="178" w:name="_Toc11545"/>
      <w:bookmarkStart w:id="179" w:name="_Toc8596"/>
      <w:bookmarkStart w:id="180" w:name="_Toc4125"/>
      <w:bookmarkStart w:id="181" w:name="_Toc4245"/>
      <w:bookmarkStart w:id="182" w:name="_Toc3029"/>
      <w:bookmarkStart w:id="183" w:name="_Toc15866"/>
      <w:bookmarkStart w:id="184" w:name="_Toc2428"/>
      <w:bookmarkStart w:id="185" w:name="_Toc31957"/>
      <w:bookmarkStart w:id="186" w:name="_Toc5770"/>
      <w:bookmarkStart w:id="187" w:name="_Toc28137"/>
      <w:bookmarkStart w:id="188" w:name="_Toc7279"/>
      <w:bookmarkStart w:id="189" w:name="_Toc20100"/>
      <w:r>
        <w:rPr>
          <w:rFonts w:hint="eastAsia" w:ascii="仿宋_GB2312" w:hAnsi="仿宋_GB2312" w:eastAsia="仿宋_GB2312" w:cs="仿宋_GB2312"/>
          <w:b/>
          <w:bCs/>
          <w:color w:val="auto"/>
          <w:sz w:val="32"/>
          <w:szCs w:val="32"/>
          <w:lang w:eastAsia="zh-CN"/>
        </w:rPr>
        <w:t>（1）人民群众生命安全风险</w:t>
      </w:r>
      <w:bookmarkEnd w:id="178"/>
      <w:bookmarkEnd w:id="179"/>
      <w:bookmarkEnd w:id="180"/>
      <w:bookmarkEnd w:id="181"/>
      <w:bookmarkEnd w:id="182"/>
      <w:bookmarkEnd w:id="183"/>
      <w:bookmarkEnd w:id="184"/>
      <w:bookmarkEnd w:id="185"/>
      <w:bookmarkEnd w:id="186"/>
      <w:bookmarkEnd w:id="187"/>
      <w:bookmarkEnd w:id="188"/>
      <w:bookmarkEnd w:id="18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主要包括城镇、农村居民等人民群众生命安全风险，要特别关注儿童、老人、残病、流动人口等特殊人群的生命安全风险情况。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2"/>
        <w:rPr>
          <w:rFonts w:hint="eastAsia" w:ascii="仿宋_GB2312" w:hAnsi="仿宋_GB2312" w:eastAsia="仿宋_GB2312" w:cs="仿宋_GB2312"/>
          <w:b/>
          <w:bCs/>
          <w:color w:val="auto"/>
          <w:sz w:val="32"/>
          <w:szCs w:val="32"/>
          <w:lang w:eastAsia="zh-CN"/>
        </w:rPr>
      </w:pPr>
      <w:bookmarkStart w:id="190" w:name="_Toc16760"/>
      <w:bookmarkStart w:id="191" w:name="_Toc3342"/>
      <w:bookmarkStart w:id="192" w:name="_Toc28075"/>
      <w:bookmarkStart w:id="193" w:name="_Toc31803"/>
      <w:bookmarkStart w:id="194" w:name="_Toc13181"/>
      <w:bookmarkStart w:id="195" w:name="_Toc21877"/>
      <w:bookmarkStart w:id="196" w:name="_Toc27768"/>
      <w:bookmarkStart w:id="197" w:name="_Toc1714"/>
      <w:bookmarkStart w:id="198" w:name="_Toc10668"/>
      <w:bookmarkStart w:id="199" w:name="_Toc20091"/>
      <w:bookmarkStart w:id="200" w:name="_Toc24481"/>
      <w:bookmarkStart w:id="201" w:name="_Toc16490"/>
      <w:r>
        <w:rPr>
          <w:rFonts w:hint="eastAsia" w:ascii="仿宋_GB2312" w:hAnsi="仿宋_GB2312" w:eastAsia="仿宋_GB2312" w:cs="仿宋_GB2312"/>
          <w:b/>
          <w:bCs/>
          <w:color w:val="auto"/>
          <w:sz w:val="32"/>
          <w:szCs w:val="32"/>
          <w:lang w:eastAsia="zh-CN"/>
        </w:rPr>
        <w:t>（2）建筑物、基础设施、公共设施、学校校舍风险</w:t>
      </w:r>
      <w:bookmarkEnd w:id="190"/>
      <w:bookmarkEnd w:id="191"/>
      <w:bookmarkEnd w:id="192"/>
      <w:bookmarkEnd w:id="193"/>
      <w:bookmarkEnd w:id="194"/>
      <w:bookmarkEnd w:id="195"/>
      <w:bookmarkEnd w:id="196"/>
      <w:bookmarkEnd w:id="197"/>
      <w:bookmarkEnd w:id="198"/>
      <w:bookmarkEnd w:id="199"/>
      <w:bookmarkEnd w:id="200"/>
      <w:bookmarkEnd w:id="20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主要包括城镇居民住宅、农村住宅、宾馆、饭店、公寓、商店、学校、医院、机关、部队营房、工业厂房、仓库等各种重要建筑设施及附属设施风险，同时包括建筑设施内的物资风险。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2"/>
        <w:rPr>
          <w:rFonts w:hint="eastAsia" w:ascii="仿宋_GB2312" w:hAnsi="仿宋_GB2312" w:eastAsia="仿宋_GB2312" w:cs="仿宋_GB2312"/>
          <w:b/>
          <w:bCs/>
          <w:color w:val="auto"/>
          <w:sz w:val="32"/>
          <w:szCs w:val="32"/>
          <w:lang w:eastAsia="zh-CN"/>
        </w:rPr>
      </w:pPr>
      <w:bookmarkStart w:id="202" w:name="_Toc15339"/>
      <w:bookmarkStart w:id="203" w:name="_Toc8678"/>
      <w:bookmarkStart w:id="204" w:name="_Toc24156"/>
      <w:bookmarkStart w:id="205" w:name="_Toc30769"/>
      <w:bookmarkStart w:id="206" w:name="_Toc3618"/>
      <w:bookmarkStart w:id="207" w:name="_Toc17731"/>
      <w:bookmarkStart w:id="208" w:name="_Toc20917"/>
      <w:bookmarkStart w:id="209" w:name="_Toc32000"/>
      <w:bookmarkStart w:id="210" w:name="_Toc19248"/>
      <w:bookmarkStart w:id="211" w:name="_Toc20928"/>
      <w:bookmarkStart w:id="212" w:name="_Toc19748"/>
      <w:bookmarkStart w:id="213" w:name="_Toc11749"/>
      <w:r>
        <w:rPr>
          <w:rFonts w:hint="eastAsia" w:ascii="仿宋_GB2312" w:hAnsi="仿宋_GB2312" w:eastAsia="仿宋_GB2312" w:cs="仿宋_GB2312"/>
          <w:b/>
          <w:bCs/>
          <w:color w:val="auto"/>
          <w:sz w:val="32"/>
          <w:szCs w:val="32"/>
          <w:lang w:eastAsia="zh-CN"/>
        </w:rPr>
        <w:t>（3）生命线工程风险</w:t>
      </w:r>
      <w:bookmarkEnd w:id="202"/>
      <w:bookmarkEnd w:id="203"/>
      <w:bookmarkEnd w:id="204"/>
      <w:bookmarkEnd w:id="205"/>
      <w:bookmarkEnd w:id="206"/>
      <w:bookmarkEnd w:id="207"/>
      <w:bookmarkEnd w:id="208"/>
      <w:bookmarkEnd w:id="209"/>
      <w:bookmarkEnd w:id="210"/>
      <w:bookmarkEnd w:id="211"/>
      <w:bookmarkEnd w:id="212"/>
      <w:bookmarkEnd w:id="2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主要包括铁路、公路、航道、通信、供水、排水、供电、供气以及桥梁、涵洞、隧道等生命线工程风险。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2"/>
        <w:rPr>
          <w:rFonts w:hint="eastAsia" w:ascii="仿宋_GB2312" w:hAnsi="仿宋_GB2312" w:eastAsia="仿宋_GB2312" w:cs="仿宋_GB2312"/>
          <w:b/>
          <w:bCs/>
          <w:color w:val="auto"/>
          <w:sz w:val="32"/>
          <w:szCs w:val="32"/>
          <w:lang w:eastAsia="zh-CN"/>
        </w:rPr>
      </w:pPr>
      <w:bookmarkStart w:id="214" w:name="_Toc30164"/>
      <w:bookmarkStart w:id="215" w:name="_Toc9389"/>
      <w:bookmarkStart w:id="216" w:name="_Toc8803"/>
      <w:bookmarkStart w:id="217" w:name="_Toc6399"/>
      <w:bookmarkStart w:id="218" w:name="_Toc17409"/>
      <w:bookmarkStart w:id="219" w:name="_Toc8730"/>
      <w:bookmarkStart w:id="220" w:name="_Toc24553"/>
      <w:bookmarkStart w:id="221" w:name="_Toc581"/>
      <w:bookmarkStart w:id="222" w:name="_Toc23190"/>
      <w:bookmarkStart w:id="223" w:name="_Toc15959"/>
      <w:bookmarkStart w:id="224" w:name="_Toc19542"/>
      <w:bookmarkStart w:id="225" w:name="_Toc25517"/>
      <w:r>
        <w:rPr>
          <w:rFonts w:hint="eastAsia" w:ascii="仿宋_GB2312" w:hAnsi="仿宋_GB2312" w:eastAsia="仿宋_GB2312" w:cs="仿宋_GB2312"/>
          <w:b/>
          <w:bCs/>
          <w:color w:val="auto"/>
          <w:sz w:val="32"/>
          <w:szCs w:val="32"/>
          <w:lang w:eastAsia="zh-CN"/>
        </w:rPr>
        <w:t>（4）水利工程风险</w:t>
      </w:r>
      <w:bookmarkEnd w:id="214"/>
      <w:bookmarkEnd w:id="215"/>
      <w:bookmarkEnd w:id="216"/>
      <w:bookmarkEnd w:id="217"/>
      <w:bookmarkEnd w:id="218"/>
      <w:bookmarkEnd w:id="219"/>
      <w:bookmarkEnd w:id="220"/>
      <w:bookmarkEnd w:id="221"/>
      <w:bookmarkEnd w:id="222"/>
      <w:bookmarkEnd w:id="223"/>
      <w:bookmarkEnd w:id="224"/>
      <w:bookmarkEnd w:id="22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主要包括水库（水电站）、堤防、水闸、泵站、农村供水设施等风险。</w:t>
      </w:r>
    </w:p>
    <w:p>
      <w:pPr>
        <w:pStyle w:val="4"/>
        <w:keepNext/>
        <w:keepLines/>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eastAsia" w:ascii="黑体" w:hAnsi="黑体" w:eastAsia="黑体" w:cs="黑体"/>
          <w:b w:val="0"/>
          <w:bCs w:val="0"/>
          <w:lang w:eastAsia="zh-CN"/>
        </w:rPr>
      </w:pPr>
      <w:bookmarkStart w:id="226" w:name="_Toc8174"/>
      <w:bookmarkStart w:id="227" w:name="_Toc22189"/>
      <w:bookmarkStart w:id="228" w:name="_Toc31109"/>
      <w:bookmarkStart w:id="229" w:name="_Toc31820"/>
      <w:bookmarkStart w:id="230" w:name="_Toc11209"/>
      <w:bookmarkStart w:id="231" w:name="_Toc4293"/>
      <w:bookmarkStart w:id="232" w:name="_Toc32153"/>
      <w:bookmarkStart w:id="233" w:name="_Toc14296"/>
      <w:bookmarkStart w:id="234" w:name="_Toc20531"/>
      <w:bookmarkStart w:id="235" w:name="_Toc9165"/>
      <w:bookmarkStart w:id="236" w:name="_Toc20505"/>
      <w:bookmarkStart w:id="237" w:name="_Toc2424"/>
      <w:bookmarkStart w:id="238" w:name="_Toc15628"/>
      <w:bookmarkStart w:id="239" w:name="_Toc5361"/>
      <w:bookmarkStart w:id="240" w:name="_Toc14851"/>
      <w:bookmarkStart w:id="241" w:name="_Toc4933"/>
      <w:r>
        <w:rPr>
          <w:rFonts w:hint="eastAsia" w:ascii="黑体" w:hAnsi="黑体" w:eastAsia="黑体" w:cs="黑体"/>
          <w:b w:val="0"/>
          <w:bCs w:val="0"/>
          <w:lang w:eastAsia="zh-CN"/>
        </w:rPr>
        <w:t>3.2</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预报预警</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（1）区自然资</w:t>
      </w:r>
      <w:r>
        <w:rPr>
          <w:rFonts w:hint="eastAsia" w:ascii="仿宋_GB2312" w:hAnsi="仿宋_GB2312" w:eastAsia="仿宋_GB2312" w:cs="仿宋_GB2312"/>
          <w:color w:val="auto"/>
          <w:sz w:val="32"/>
          <w:szCs w:val="32"/>
          <w:highlight w:val="none"/>
          <w:lang w:eastAsia="zh-CN"/>
        </w:rPr>
        <w:t>源部门根据气象部门发布的气象信息，开展地质灾害气象风险预报预警。三级、四级预报预警信息由自然资源部门发布，二级以上预报预警信息经同级应急管理部门审定后，由应急管理和自然资源联合</w:t>
      </w:r>
      <w:r>
        <w:rPr>
          <w:rFonts w:hint="eastAsia" w:ascii="仿宋_GB2312" w:hAnsi="仿宋_GB2312" w:eastAsia="仿宋_GB2312" w:cs="仿宋_GB2312"/>
          <w:color w:val="auto"/>
          <w:sz w:val="32"/>
          <w:szCs w:val="32"/>
          <w:lang w:eastAsia="zh-CN"/>
        </w:rPr>
        <w:t>发布，由市突发事件预警信息发布中心代为实施。预报预警信息内容主要包括：地质灾害可能发生的时间、地点、成灾范围、危险程度和应采取的防范措施等。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（2）预警信息发布后，预警区域内的镇人民政府、街道办事处应立即将有关预警信息告知地质灾害防灾责任人、监测人和受威胁人员；并根据预警信息等级，协调做好各项应急准备工作。</w:t>
      </w:r>
    </w:p>
    <w:p>
      <w:pPr>
        <w:pStyle w:val="4"/>
        <w:keepNext/>
        <w:keepLines/>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eastAsia" w:ascii="黑体" w:hAnsi="黑体" w:eastAsia="黑体" w:cs="黑体"/>
          <w:b w:val="0"/>
          <w:bCs w:val="0"/>
          <w:lang w:eastAsia="zh-CN"/>
        </w:rPr>
      </w:pPr>
      <w:bookmarkStart w:id="242" w:name="_Toc18028"/>
      <w:bookmarkStart w:id="243" w:name="_Toc20361"/>
      <w:bookmarkStart w:id="244" w:name="_Toc24902"/>
      <w:bookmarkStart w:id="245" w:name="_Toc14848"/>
      <w:bookmarkStart w:id="246" w:name="_Toc18235"/>
      <w:bookmarkStart w:id="247" w:name="_Toc31330"/>
      <w:bookmarkStart w:id="248" w:name="_Toc4491"/>
      <w:bookmarkStart w:id="249" w:name="_Toc7214"/>
      <w:bookmarkStart w:id="250" w:name="_Toc4918"/>
      <w:bookmarkStart w:id="251" w:name="_Toc26057"/>
      <w:bookmarkStart w:id="252" w:name="_Toc9028"/>
      <w:bookmarkStart w:id="253" w:name="_Toc11780"/>
      <w:bookmarkStart w:id="254" w:name="_Toc15735"/>
      <w:bookmarkStart w:id="255" w:name="_Toc24510"/>
      <w:bookmarkStart w:id="256" w:name="_Toc32195"/>
      <w:bookmarkStart w:id="257" w:name="_Toc13363"/>
      <w:r>
        <w:rPr>
          <w:rFonts w:hint="eastAsia" w:ascii="黑体" w:hAnsi="黑体" w:eastAsia="黑体" w:cs="黑体"/>
          <w:b w:val="0"/>
          <w:bCs w:val="0"/>
          <w:lang w:eastAsia="zh-CN"/>
        </w:rPr>
        <w:t>3.3</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应急处置</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5"/>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2"/>
        <w:rPr>
          <w:rFonts w:hint="eastAsia" w:ascii="楷体_GB2312" w:hAnsi="楷体_GB2312" w:eastAsia="楷体_GB2312" w:cs="楷体_GB2312"/>
          <w:b w:val="0"/>
          <w:bCs/>
          <w:lang w:eastAsia="zh-CN"/>
        </w:rPr>
      </w:pPr>
      <w:bookmarkStart w:id="258" w:name="_Toc19460"/>
      <w:bookmarkStart w:id="259" w:name="_Toc7989"/>
      <w:bookmarkStart w:id="260" w:name="_Toc9167"/>
      <w:bookmarkStart w:id="261" w:name="_Toc22697"/>
      <w:bookmarkStart w:id="262" w:name="_Toc18302"/>
      <w:bookmarkStart w:id="263" w:name="_Toc17351"/>
      <w:bookmarkStart w:id="264" w:name="_Toc27707"/>
      <w:bookmarkStart w:id="265" w:name="_Toc15572"/>
      <w:bookmarkStart w:id="266" w:name="_Toc24128"/>
      <w:bookmarkStart w:id="267" w:name="_Toc32132"/>
      <w:bookmarkStart w:id="268" w:name="_Toc8271"/>
      <w:r>
        <w:rPr>
          <w:rFonts w:hint="eastAsia" w:ascii="楷体_GB2312" w:hAnsi="楷体_GB2312" w:eastAsia="楷体_GB2312" w:cs="楷体_GB2312"/>
          <w:b w:val="0"/>
          <w:bCs/>
          <w:lang w:eastAsia="zh-CN"/>
        </w:rPr>
        <w:t>3.3.1</w:t>
      </w:r>
      <w:r>
        <w:rPr>
          <w:rFonts w:hint="eastAsia" w:ascii="楷体_GB2312" w:hAnsi="楷体_GB2312" w:eastAsia="楷体_GB2312" w:cs="楷体_GB2312"/>
          <w:b w:val="0"/>
          <w:bCs/>
          <w:lang w:val="en-US" w:eastAsia="zh-CN"/>
        </w:rPr>
        <w:t xml:space="preserve"> </w:t>
      </w:r>
      <w:r>
        <w:rPr>
          <w:rFonts w:hint="eastAsia" w:ascii="楷体_GB2312" w:hAnsi="楷体_GB2312" w:eastAsia="楷体_GB2312" w:cs="楷体_GB2312"/>
          <w:b w:val="0"/>
          <w:bCs/>
          <w:lang w:eastAsia="zh-CN"/>
        </w:rPr>
        <w:t>信息报告</w:t>
      </w:r>
      <w:bookmarkEnd w:id="258"/>
      <w:bookmarkEnd w:id="259"/>
      <w:bookmarkEnd w:id="260"/>
      <w:bookmarkEnd w:id="261"/>
      <w:bookmarkEnd w:id="262"/>
      <w:bookmarkEnd w:id="263"/>
      <w:bookmarkEnd w:id="264"/>
      <w:bookmarkEnd w:id="265"/>
      <w:bookmarkEnd w:id="266"/>
      <w:bookmarkEnd w:id="267"/>
      <w:bookmarkEnd w:id="26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报告时限。事发地人民政府及其有关部门按照规定报告地质灾害灾情险情。其中，接到较大以上地质灾害报告后，应立即向上一级党委、政府及主管部门报告，并同时抄报上级政府应急管理、自然资源主管部门，最迟不得超过</w:t>
      </w:r>
      <w:r>
        <w:rPr>
          <w:rFonts w:hint="eastAsia" w:ascii="仿宋_GB2312" w:hAnsi="仿宋_GB2312" w:eastAsia="仿宋_GB2312" w:cs="仿宋_GB2312"/>
          <w:color w:val="auto"/>
          <w:sz w:val="32"/>
          <w:szCs w:val="32"/>
          <w:lang w:val="en-US" w:eastAsia="zh-CN"/>
        </w:rPr>
        <w:t>1小时</w:t>
      </w:r>
      <w:r>
        <w:rPr>
          <w:rFonts w:hint="eastAsia" w:ascii="仿宋_GB2312" w:hAnsi="仿宋_GB2312" w:eastAsia="仿宋_GB2312" w:cs="仿宋_GB2312"/>
          <w:color w:val="auto"/>
          <w:sz w:val="32"/>
          <w:szCs w:val="32"/>
          <w:lang w:eastAsia="zh-CN"/>
        </w:rPr>
        <w:t>。紧急情况下，可直接速报</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应急管理局、</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自然资源局，并同时抄报上一级党委、政府及有关部门。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应急管理局接到较大以上地质灾害报告后1小时内速报</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委、</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政府和</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lang w:eastAsia="zh-CN"/>
        </w:rPr>
        <w:t>指挥部办公室（</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lang w:eastAsia="zh-CN"/>
        </w:rPr>
        <w:t>应急管理</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eastAsia="zh-CN"/>
        </w:rPr>
        <w:t>），并随时续报灾害处置进展情况。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报告内容。突发地质灾害以“突发事件信息专报”形式上报，内容主要包括：地质灾害险情或灾情发生时间、地点，地质灾害类型、灾害体规模，灾害造成死亡、失踪或受伤人数，受威胁人数、潜在的财产损失、影响范围、引发因素和发展趋势，已采取的对策措施等。</w:t>
      </w:r>
    </w:p>
    <w:p>
      <w:pPr>
        <w:pStyle w:val="5"/>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2"/>
        <w:rPr>
          <w:rFonts w:hint="eastAsia" w:ascii="楷体_GB2312" w:hAnsi="楷体_GB2312" w:eastAsia="楷体_GB2312" w:cs="楷体_GB2312"/>
          <w:b w:val="0"/>
          <w:bCs/>
          <w:lang w:eastAsia="zh-CN"/>
        </w:rPr>
      </w:pPr>
      <w:bookmarkStart w:id="269" w:name="_Toc8083"/>
      <w:bookmarkStart w:id="270" w:name="_Toc27303"/>
      <w:bookmarkStart w:id="271" w:name="_Toc155"/>
      <w:bookmarkStart w:id="272" w:name="_Toc1200"/>
      <w:bookmarkStart w:id="273" w:name="_Toc7937"/>
      <w:bookmarkStart w:id="274" w:name="_Toc598"/>
      <w:bookmarkStart w:id="275" w:name="_Toc11447"/>
      <w:bookmarkStart w:id="276" w:name="_Toc21992"/>
      <w:bookmarkStart w:id="277" w:name="_Toc15080"/>
      <w:bookmarkStart w:id="278" w:name="_Toc8941"/>
      <w:bookmarkStart w:id="279" w:name="_Toc7996"/>
      <w:r>
        <w:rPr>
          <w:rFonts w:hint="eastAsia" w:ascii="楷体_GB2312" w:hAnsi="楷体_GB2312" w:eastAsia="楷体_GB2312" w:cs="楷体_GB2312"/>
          <w:b w:val="0"/>
          <w:bCs/>
          <w:lang w:eastAsia="zh-CN"/>
        </w:rPr>
        <w:t>3.3.2</w:t>
      </w:r>
      <w:r>
        <w:rPr>
          <w:rFonts w:hint="eastAsia" w:ascii="楷体_GB2312" w:hAnsi="楷体_GB2312" w:eastAsia="楷体_GB2312" w:cs="楷体_GB2312"/>
          <w:b w:val="0"/>
          <w:bCs/>
          <w:lang w:val="en-US" w:eastAsia="zh-CN"/>
        </w:rPr>
        <w:t xml:space="preserve"> </w:t>
      </w:r>
      <w:r>
        <w:rPr>
          <w:rFonts w:hint="eastAsia" w:ascii="楷体_GB2312" w:hAnsi="楷体_GB2312" w:eastAsia="楷体_GB2312" w:cs="楷体_GB2312"/>
          <w:b w:val="0"/>
          <w:bCs/>
          <w:lang w:eastAsia="zh-CN"/>
        </w:rPr>
        <w:t>先期处置</w:t>
      </w:r>
      <w:bookmarkEnd w:id="269"/>
      <w:bookmarkEnd w:id="270"/>
      <w:bookmarkEnd w:id="271"/>
      <w:bookmarkEnd w:id="272"/>
      <w:bookmarkEnd w:id="273"/>
      <w:bookmarkEnd w:id="274"/>
      <w:bookmarkEnd w:id="275"/>
      <w:bookmarkEnd w:id="276"/>
      <w:bookmarkEnd w:id="277"/>
      <w:bookmarkEnd w:id="278"/>
      <w:bookmarkEnd w:id="27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灾区各镇（街道）应急（救援）指挥机构要按照地质灾害应急预案和上级有关部署，组织实施本行政区域应急救援工作；立即发动基层干部群众开展自救互救，组织基层抢险救援队伍开展人员搜救和医疗救护；开放应急避难场所，及时转移、安置受灾群众；防范次生灾害，维护社会治安。必要时，向上级提出援助请求。</w:t>
      </w:r>
    </w:p>
    <w:p>
      <w:pPr>
        <w:pStyle w:val="5"/>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2"/>
        <w:rPr>
          <w:rFonts w:hint="eastAsia" w:ascii="楷体_GB2312" w:hAnsi="楷体_GB2312" w:eastAsia="楷体_GB2312" w:cs="楷体_GB2312"/>
          <w:b w:val="0"/>
          <w:bCs/>
          <w:lang w:eastAsia="zh-CN"/>
        </w:rPr>
      </w:pPr>
      <w:bookmarkStart w:id="280" w:name="_Toc26740"/>
      <w:bookmarkStart w:id="281" w:name="_Toc18783"/>
      <w:bookmarkStart w:id="282" w:name="_Toc16547"/>
      <w:bookmarkStart w:id="283" w:name="_Toc16116"/>
      <w:bookmarkStart w:id="284" w:name="_Toc22757"/>
      <w:bookmarkStart w:id="285" w:name="_Toc24426"/>
      <w:bookmarkStart w:id="286" w:name="_Toc13083"/>
      <w:bookmarkStart w:id="287" w:name="_Toc1618"/>
      <w:bookmarkStart w:id="288" w:name="_Toc714"/>
      <w:bookmarkStart w:id="289" w:name="_Toc9090"/>
      <w:bookmarkStart w:id="290" w:name="_Toc18165"/>
      <w:r>
        <w:rPr>
          <w:rFonts w:hint="eastAsia" w:ascii="楷体_GB2312" w:hAnsi="楷体_GB2312" w:eastAsia="楷体_GB2312" w:cs="楷体_GB2312"/>
          <w:b w:val="0"/>
          <w:bCs/>
          <w:lang w:eastAsia="zh-CN"/>
        </w:rPr>
        <w:t>3.3.3</w:t>
      </w:r>
      <w:r>
        <w:rPr>
          <w:rFonts w:hint="eastAsia" w:ascii="楷体_GB2312" w:hAnsi="楷体_GB2312" w:eastAsia="楷体_GB2312" w:cs="楷体_GB2312"/>
          <w:b w:val="0"/>
          <w:bCs/>
          <w:lang w:val="en-US" w:eastAsia="zh-CN"/>
        </w:rPr>
        <w:t xml:space="preserve"> </w:t>
      </w:r>
      <w:r>
        <w:rPr>
          <w:rFonts w:hint="eastAsia" w:ascii="楷体_GB2312" w:hAnsi="楷体_GB2312" w:eastAsia="楷体_GB2312" w:cs="楷体_GB2312"/>
          <w:b w:val="0"/>
          <w:bCs/>
          <w:lang w:eastAsia="zh-CN"/>
        </w:rPr>
        <w:t>灾区监测</w:t>
      </w:r>
      <w:bookmarkEnd w:id="280"/>
      <w:bookmarkEnd w:id="281"/>
      <w:bookmarkEnd w:id="282"/>
      <w:bookmarkEnd w:id="283"/>
      <w:bookmarkEnd w:id="284"/>
      <w:bookmarkEnd w:id="285"/>
      <w:bookmarkEnd w:id="286"/>
      <w:bookmarkEnd w:id="287"/>
      <w:bookmarkEnd w:id="288"/>
      <w:bookmarkEnd w:id="289"/>
      <w:bookmarkEnd w:id="29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根据突发地质灾害应急救援工作需要，市自然资源局清城分局组织专业技术人员，对灾区的地质灾害类型、发展趋势提出研判意见；加密灾区监测网，加强对次生地质灾害监测预警。区水利局组织水情、汛情监测。灾区所在地应急（救援）指挥机构安排专业力量加强空气、水源、土壤污染监测，减轻或消除污染危害。</w:t>
      </w:r>
    </w:p>
    <w:p>
      <w:pPr>
        <w:pStyle w:val="5"/>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2"/>
        <w:rPr>
          <w:rFonts w:hint="eastAsia" w:ascii="楷体_GB2312" w:hAnsi="楷体_GB2312" w:eastAsia="楷体_GB2312" w:cs="楷体_GB2312"/>
          <w:b w:val="0"/>
          <w:bCs/>
          <w:lang w:eastAsia="zh-CN"/>
        </w:rPr>
      </w:pPr>
      <w:bookmarkStart w:id="291" w:name="_Toc14390"/>
      <w:bookmarkStart w:id="292" w:name="_Toc27653"/>
      <w:bookmarkStart w:id="293" w:name="_Toc26831"/>
      <w:bookmarkStart w:id="294" w:name="_Toc22220"/>
      <w:bookmarkStart w:id="295" w:name="_Toc18515"/>
      <w:bookmarkStart w:id="296" w:name="_Toc32715"/>
      <w:bookmarkStart w:id="297" w:name="_Toc22013"/>
      <w:bookmarkStart w:id="298" w:name="_Toc12782"/>
      <w:bookmarkStart w:id="299" w:name="_Toc12540"/>
      <w:bookmarkStart w:id="300" w:name="_Toc27254"/>
      <w:bookmarkStart w:id="301" w:name="_Toc31882"/>
      <w:bookmarkStart w:id="302" w:name="_Toc22890"/>
      <w:bookmarkStart w:id="303" w:name="_Toc17388"/>
      <w:bookmarkStart w:id="304" w:name="_Toc12965"/>
      <w:bookmarkStart w:id="305" w:name="_Toc17027"/>
      <w:bookmarkStart w:id="306" w:name="_Toc9691"/>
      <w:r>
        <w:rPr>
          <w:rFonts w:hint="eastAsia" w:ascii="楷体_GB2312" w:hAnsi="楷体_GB2312" w:eastAsia="楷体_GB2312" w:cs="楷体_GB2312"/>
          <w:b w:val="0"/>
          <w:bCs/>
          <w:lang w:eastAsia="zh-CN"/>
        </w:rPr>
        <w:t>3.3.4</w:t>
      </w:r>
      <w:r>
        <w:rPr>
          <w:rFonts w:hint="eastAsia" w:ascii="楷体_GB2312" w:hAnsi="楷体_GB2312" w:eastAsia="楷体_GB2312" w:cs="楷体_GB2312"/>
          <w:b w:val="0"/>
          <w:bCs/>
          <w:lang w:val="en-US" w:eastAsia="zh-CN"/>
        </w:rPr>
        <w:t xml:space="preserve"> </w:t>
      </w:r>
      <w:r>
        <w:rPr>
          <w:rFonts w:hint="eastAsia" w:ascii="楷体_GB2312" w:hAnsi="楷体_GB2312" w:eastAsia="楷体_GB2312" w:cs="楷体_GB2312"/>
          <w:b w:val="0"/>
          <w:bCs/>
          <w:lang w:eastAsia="zh-CN"/>
        </w:rPr>
        <w:t>响应启动</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按照地质灾害危害程度、影响范围及其引发的次生灾害类别，有关单位按照其职责及相关应急预案启动应急响应。当同时发生两种以上的灾害且分别发布不同预警等级时，按照最高预警等级灾种启动应急响应。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突发地质灾害应急响应级别分为I级、Ⅱ级、Ⅲ级、Ⅳ级四个等级。</w:t>
      </w:r>
    </w:p>
    <w:p>
      <w:pPr>
        <w:pStyle w:val="6"/>
        <w:bidi w:val="0"/>
        <w:ind w:left="0" w:leftChars="0" w:firstLine="0" w:firstLineChars="0"/>
        <w:rPr>
          <w:rFonts w:hint="eastAsia" w:ascii="仿宋_GB2312" w:hAnsi="仿宋_GB2312" w:eastAsia="仿宋_GB2312" w:cs="仿宋_GB2312"/>
          <w:b/>
          <w:bCs/>
          <w:sz w:val="32"/>
          <w:szCs w:val="32"/>
          <w:lang w:eastAsia="zh-CN"/>
        </w:rPr>
      </w:pPr>
      <w:bookmarkStart w:id="307" w:name="_Toc30250"/>
      <w:bookmarkStart w:id="308" w:name="_Toc24179"/>
      <w:bookmarkStart w:id="309" w:name="_Toc31683"/>
      <w:bookmarkStart w:id="310" w:name="_Toc22114"/>
      <w:bookmarkStart w:id="311" w:name="_Toc28658"/>
      <w:bookmarkStart w:id="312" w:name="_Toc17630"/>
      <w:bookmarkStart w:id="313" w:name="_Toc18539"/>
      <w:bookmarkStart w:id="314" w:name="_Toc1770"/>
      <w:bookmarkStart w:id="315" w:name="_Toc13931"/>
      <w:bookmarkStart w:id="316" w:name="_Toc29205"/>
      <w:bookmarkStart w:id="317" w:name="_Toc3469"/>
      <w:r>
        <w:rPr>
          <w:rFonts w:hint="eastAsia" w:ascii="仿宋_GB2312" w:hAnsi="仿宋_GB2312" w:eastAsia="仿宋_GB2312" w:cs="仿宋_GB2312"/>
          <w:b/>
          <w:bCs/>
          <w:sz w:val="32"/>
          <w:szCs w:val="32"/>
          <w:lang w:val="en-US" w:eastAsia="zh-CN"/>
        </w:rPr>
        <w:t xml:space="preserve">3.3.4.1 </w:t>
      </w:r>
      <w:r>
        <w:rPr>
          <w:rFonts w:hint="eastAsia" w:ascii="仿宋_GB2312" w:hAnsi="仿宋_GB2312" w:eastAsia="仿宋_GB2312" w:cs="仿宋_GB2312"/>
          <w:b/>
          <w:bCs/>
          <w:sz w:val="32"/>
          <w:szCs w:val="32"/>
          <w:lang w:eastAsia="zh-CN"/>
        </w:rPr>
        <w:t>I级响应</w:t>
      </w:r>
      <w:bookmarkEnd w:id="307"/>
      <w:bookmarkEnd w:id="308"/>
      <w:bookmarkEnd w:id="309"/>
      <w:bookmarkEnd w:id="310"/>
      <w:bookmarkEnd w:id="311"/>
      <w:bookmarkEnd w:id="312"/>
      <w:bookmarkEnd w:id="313"/>
      <w:bookmarkEnd w:id="314"/>
      <w:bookmarkEnd w:id="315"/>
      <w:bookmarkEnd w:id="316"/>
      <w:bookmarkEnd w:id="31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发生30人以上死亡（含失踪）的地质灾害，或者发生直接威胁人数在800人以上的地质灾害险情，区人民政府立即启动相关的应急预案，部署本行政区域内的地质灾害应急防治与救灾工作，报请市人民政府启动I级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地质灾害发生地的镇人民政府、街道办事处应当依照群测群防责任制的规定，立即将有关信息通知到地质灾害危险点的防灾责任人、监测人和该区域内的群众，对是否转移群众和采取的应急措施做出决策；及时划定地质灾害危险区，设立明显的危险区警示标志，确定预警信号和撤离路线，组织群众转移避让或采取排险防治措施，根据险情和灾情具体情况提出应急对策，情况危急时应强制组织受威胁群众避灾疏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指挥部立即组织指挥部成员和专家赶赴现场，指导受灾镇人民政府、街道办事处开展应急处置工作，及时核实灾情和险情，并向市指挥部办公室报告应急处置措施和有关处置情况，全力配合国家、省、市指挥部开展应急处置工作。</w:t>
      </w:r>
    </w:p>
    <w:p>
      <w:pPr>
        <w:pStyle w:val="6"/>
        <w:bidi w:val="0"/>
        <w:ind w:left="0" w:leftChars="0" w:firstLine="0" w:firstLineChars="0"/>
        <w:rPr>
          <w:rFonts w:hint="eastAsia" w:ascii="仿宋_GB2312" w:hAnsi="仿宋_GB2312" w:eastAsia="仿宋_GB2312" w:cs="仿宋_GB2312"/>
          <w:b/>
          <w:bCs/>
          <w:sz w:val="32"/>
          <w:szCs w:val="32"/>
          <w:lang w:val="en-US" w:eastAsia="zh-CN"/>
        </w:rPr>
      </w:pPr>
      <w:bookmarkStart w:id="318" w:name="_Toc6310"/>
      <w:bookmarkStart w:id="319" w:name="_Toc15830"/>
      <w:bookmarkStart w:id="320" w:name="_Toc16385"/>
      <w:bookmarkStart w:id="321" w:name="_Toc23100"/>
      <w:bookmarkStart w:id="322" w:name="_Toc27267"/>
      <w:bookmarkStart w:id="323" w:name="_Toc27518"/>
      <w:bookmarkStart w:id="324" w:name="_Toc23989"/>
      <w:bookmarkStart w:id="325" w:name="_Toc13170"/>
      <w:bookmarkStart w:id="326" w:name="_Toc22689"/>
      <w:bookmarkStart w:id="327" w:name="_Toc23372"/>
      <w:bookmarkStart w:id="328" w:name="_Toc30129"/>
      <w:r>
        <w:rPr>
          <w:rFonts w:hint="eastAsia" w:ascii="仿宋_GB2312" w:hAnsi="仿宋_GB2312" w:eastAsia="仿宋_GB2312" w:cs="仿宋_GB2312"/>
          <w:b/>
          <w:bCs/>
          <w:sz w:val="32"/>
          <w:szCs w:val="32"/>
          <w:lang w:val="en-US" w:eastAsia="zh-CN"/>
        </w:rPr>
        <w:t>3.3.4.2 II级响应</w:t>
      </w:r>
      <w:bookmarkEnd w:id="318"/>
      <w:bookmarkEnd w:id="319"/>
      <w:bookmarkEnd w:id="320"/>
      <w:bookmarkEnd w:id="321"/>
      <w:bookmarkEnd w:id="322"/>
      <w:bookmarkEnd w:id="323"/>
      <w:bookmarkEnd w:id="324"/>
      <w:bookmarkEnd w:id="325"/>
      <w:bookmarkEnd w:id="326"/>
      <w:bookmarkEnd w:id="327"/>
      <w:bookmarkEnd w:id="32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发生10人以上、30人以下死亡（含失踪）的地质灾害，或者发生直接威胁人数为400人以上、800人以下的地质灾害险情，区人民政府立即启动相关的应急预案，部署本行政区域内的地质灾害应急防治与救灾工作，报请市指挥部启动Ⅱ级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地质灾害发生地的镇人民政府、街道办事处应当依照群测群防责任制的规定，立即将有关信息通知到地质灾害危险点的防灾责任人、监测人和该区域内的群众，对是否转移群众和采取的应急措施做出决策；及时划定地质灾害危险区，设立明显的危险区警示标志，确定预警信号和撤离路线，组织群众转移避让或采取排险防治措施，根据险情和灾情具体情况提出应急对策，情况危急时应强制组织受威胁群众避灾疏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指挥部立即组织指挥部成员和专家赶赴现场，指导受灾镇人民政府、街道办事处开展应急处置工作，及时核实灾情和险情，并向市指挥部办公室报告应急处置措施和有关处置情况，全力配合市指挥部开展应急处置工作。</w:t>
      </w:r>
    </w:p>
    <w:p>
      <w:pPr>
        <w:pStyle w:val="6"/>
        <w:bidi w:val="0"/>
        <w:ind w:left="0" w:leftChars="0" w:firstLine="0" w:firstLineChars="0"/>
        <w:rPr>
          <w:rFonts w:hint="eastAsia" w:ascii="仿宋_GB2312" w:hAnsi="仿宋_GB2312" w:eastAsia="仿宋_GB2312" w:cs="仿宋_GB2312"/>
          <w:b/>
          <w:bCs/>
          <w:sz w:val="32"/>
          <w:szCs w:val="32"/>
          <w:lang w:val="en-US" w:eastAsia="zh-CN"/>
        </w:rPr>
      </w:pPr>
      <w:bookmarkStart w:id="329" w:name="_Toc6712"/>
      <w:bookmarkStart w:id="330" w:name="_Toc13203"/>
      <w:bookmarkStart w:id="331" w:name="_Toc11567"/>
      <w:bookmarkStart w:id="332" w:name="_Toc12749"/>
      <w:bookmarkStart w:id="333" w:name="_Toc17890"/>
      <w:bookmarkStart w:id="334" w:name="_Toc3999"/>
      <w:bookmarkStart w:id="335" w:name="_Toc16257"/>
      <w:bookmarkStart w:id="336" w:name="_Toc14690"/>
      <w:bookmarkStart w:id="337" w:name="_Toc2191"/>
      <w:bookmarkStart w:id="338" w:name="_Toc18752"/>
      <w:bookmarkStart w:id="339" w:name="_Toc20686"/>
      <w:r>
        <w:rPr>
          <w:rFonts w:hint="eastAsia" w:ascii="仿宋_GB2312" w:hAnsi="仿宋_GB2312" w:eastAsia="仿宋_GB2312" w:cs="仿宋_GB2312"/>
          <w:b/>
          <w:bCs/>
          <w:sz w:val="32"/>
          <w:szCs w:val="32"/>
          <w:lang w:val="en-US" w:eastAsia="zh-CN"/>
        </w:rPr>
        <w:t>3.3.4.3 III级响应</w:t>
      </w:r>
      <w:bookmarkEnd w:id="329"/>
      <w:bookmarkEnd w:id="330"/>
      <w:bookmarkEnd w:id="331"/>
      <w:bookmarkEnd w:id="332"/>
      <w:bookmarkEnd w:id="333"/>
      <w:bookmarkEnd w:id="334"/>
      <w:bookmarkEnd w:id="335"/>
      <w:bookmarkEnd w:id="336"/>
      <w:bookmarkEnd w:id="337"/>
      <w:bookmarkEnd w:id="338"/>
      <w:bookmarkEnd w:id="33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发生3人以上、10人以下死亡（含失踪）的地质灾害，或者发生直接威胁人数为100人以上、400人以下的地质灾害险情，区指挥部立即组织各单位成员和专家进行分析研判，对突发地质灾害影响及其发展趋势进行综合评估，报请区人民政府启动Ⅲ级应急响应，向各有关单位发布启动相关应急程序的命令。区指挥部指挥长到区指挥部坐镇指挥应急救援工作。区指挥部有关成员单位派员到区指挥部参与联合值守，随时报告灾情信息。区指挥部副指挥长（区应急管理局局长）和办公室主任带领工作组赶赴灾区，积极开展应急处置工作，并将有关情况迅速报告市指挥部和市应急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地质灾害发生地的镇人民政府、街道办事处应当依照群测群防责任制的规定，立即将有关信息通知到地质灾害危险点的防灾责任人、监测人和该区域内的群众，对是否转移群众和采取的应急措施做出决策；及时划定地质灾害危险区，设立明显的危险区警示标志，确定预警信号和撤离路线，组织群众转移避让或采取排险防治措施，根据险情和灾情具体情况提出应急对策，情况危急时应强制组织受威胁群众避灾疏散。</w:t>
      </w:r>
    </w:p>
    <w:p>
      <w:pPr>
        <w:pStyle w:val="6"/>
        <w:bidi w:val="0"/>
        <w:ind w:left="0" w:leftChars="0" w:firstLine="0" w:firstLineChars="0"/>
        <w:rPr>
          <w:rFonts w:hint="eastAsia" w:ascii="仿宋_GB2312" w:hAnsi="仿宋_GB2312" w:eastAsia="仿宋_GB2312" w:cs="仿宋_GB2312"/>
          <w:b/>
          <w:bCs/>
          <w:sz w:val="32"/>
          <w:szCs w:val="32"/>
          <w:lang w:val="en-US" w:eastAsia="zh-CN"/>
        </w:rPr>
      </w:pPr>
      <w:bookmarkStart w:id="340" w:name="_Toc9072"/>
      <w:bookmarkStart w:id="341" w:name="_Toc30180"/>
      <w:bookmarkStart w:id="342" w:name="_Toc31166"/>
      <w:bookmarkStart w:id="343" w:name="_Toc32366"/>
      <w:bookmarkStart w:id="344" w:name="_Toc30662"/>
      <w:bookmarkStart w:id="345" w:name="_Toc17084"/>
      <w:bookmarkStart w:id="346" w:name="_Toc19326"/>
      <w:bookmarkStart w:id="347" w:name="_Toc14049"/>
      <w:bookmarkStart w:id="348" w:name="_Toc8734"/>
      <w:bookmarkStart w:id="349" w:name="_Toc5625"/>
      <w:bookmarkStart w:id="350" w:name="_Toc28869"/>
      <w:r>
        <w:rPr>
          <w:rFonts w:hint="eastAsia" w:ascii="仿宋_GB2312" w:hAnsi="仿宋_GB2312" w:eastAsia="仿宋_GB2312" w:cs="仿宋_GB2312"/>
          <w:b/>
          <w:bCs/>
          <w:sz w:val="32"/>
          <w:szCs w:val="32"/>
          <w:lang w:val="en-US" w:eastAsia="zh-CN"/>
        </w:rPr>
        <w:t>3.3.4.4 Ⅳ级响应</w:t>
      </w:r>
      <w:bookmarkEnd w:id="340"/>
      <w:bookmarkEnd w:id="341"/>
      <w:bookmarkEnd w:id="342"/>
      <w:bookmarkEnd w:id="343"/>
      <w:bookmarkEnd w:id="344"/>
      <w:bookmarkEnd w:id="345"/>
      <w:bookmarkEnd w:id="346"/>
      <w:bookmarkEnd w:id="347"/>
      <w:bookmarkEnd w:id="348"/>
      <w:bookmarkEnd w:id="349"/>
      <w:bookmarkEnd w:id="35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发生3人以下死亡（含失踪）的地质灾害，或者发生直接威胁人数为10人以上、100人以下的地质灾害险情，区突发地质灾害应急指挥机构立即组织各单位成员和专家进行分析研判，对突发地质灾害影响及其发展趋势进行综合评估，由应急指挥机构主要负责同志决定启动Ⅳ级应急响应，向各有关单位发布启动相关应急程序的命令，并立即将有关信息通知到地质灾害危险点的防灾责任人、监测人和该区域内的群众，对是否转移群众和采取的应急措施做出决策；及时划定地质灾害危险区，设立明显的危险区警示标志，确定预警信号和撤离路线，组织群众转移避让或采取排险防治措施，根据险情和灾情具体情况提出应急对策，情况危急时应强制组织受威胁群众避灾疏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必要时，区应急管理局、市自然资源局清城分局派出工作组赶赴灾害现场，指导镇人民政府、街道办事处地质灾害应急指挥机构做好地质灾害应急处置工作。</w:t>
      </w:r>
    </w:p>
    <w:p>
      <w:pPr>
        <w:pStyle w:val="5"/>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2"/>
        <w:rPr>
          <w:rFonts w:hint="eastAsia" w:ascii="楷体_GB2312" w:hAnsi="楷体_GB2312" w:eastAsia="楷体_GB2312" w:cs="楷体_GB2312"/>
          <w:b w:val="0"/>
          <w:bCs/>
          <w:lang w:eastAsia="zh-CN"/>
        </w:rPr>
      </w:pPr>
      <w:bookmarkStart w:id="351" w:name="_Toc29415"/>
      <w:bookmarkStart w:id="352" w:name="_Toc14883"/>
      <w:bookmarkStart w:id="353" w:name="_Toc6680"/>
      <w:bookmarkStart w:id="354" w:name="_Toc5419"/>
      <w:bookmarkStart w:id="355" w:name="_Toc408"/>
      <w:bookmarkStart w:id="356" w:name="_Toc2970"/>
      <w:bookmarkStart w:id="357" w:name="_Toc9372"/>
      <w:bookmarkStart w:id="358" w:name="_Toc18587"/>
      <w:bookmarkStart w:id="359" w:name="_Toc14026"/>
      <w:bookmarkStart w:id="360" w:name="_Toc1276"/>
      <w:bookmarkStart w:id="361" w:name="_Toc5440"/>
      <w:bookmarkStart w:id="362" w:name="_Toc1192"/>
      <w:bookmarkStart w:id="363" w:name="_Toc15903"/>
      <w:bookmarkStart w:id="364" w:name="_Toc18364"/>
      <w:bookmarkStart w:id="365" w:name="_Toc16142"/>
      <w:bookmarkStart w:id="366" w:name="_Toc18258"/>
      <w:r>
        <w:rPr>
          <w:rFonts w:hint="eastAsia" w:ascii="楷体_GB2312" w:hAnsi="楷体_GB2312" w:eastAsia="楷体_GB2312" w:cs="楷体_GB2312"/>
          <w:b w:val="0"/>
          <w:bCs/>
          <w:lang w:eastAsia="zh-CN"/>
        </w:rPr>
        <w:t>3.3.5</w:t>
      </w:r>
      <w:r>
        <w:rPr>
          <w:rFonts w:hint="eastAsia" w:ascii="楷体_GB2312" w:hAnsi="楷体_GB2312" w:eastAsia="楷体_GB2312" w:cs="楷体_GB2312"/>
          <w:b w:val="0"/>
          <w:bCs/>
          <w:lang w:val="en-US" w:eastAsia="zh-CN"/>
        </w:rPr>
        <w:t xml:space="preserve"> </w:t>
      </w:r>
      <w:r>
        <w:rPr>
          <w:rFonts w:hint="eastAsia" w:ascii="楷体_GB2312" w:hAnsi="楷体_GB2312" w:eastAsia="楷体_GB2312" w:cs="楷体_GB2312"/>
          <w:b w:val="0"/>
          <w:bCs/>
          <w:lang w:eastAsia="zh-CN"/>
        </w:rPr>
        <w:t>现场处置</w:t>
      </w:r>
      <w:bookmarkEnd w:id="351"/>
      <w:bookmarkEnd w:id="352"/>
      <w:bookmarkEnd w:id="353"/>
      <w:bookmarkEnd w:id="354"/>
      <w:bookmarkEnd w:id="355"/>
      <w:bookmarkEnd w:id="356"/>
      <w:bookmarkEnd w:id="357"/>
      <w:bookmarkEnd w:id="358"/>
      <w:bookmarkEnd w:id="359"/>
      <w:bookmarkEnd w:id="360"/>
      <w:bookmarkEnd w:id="36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地质灾害现场应急处置，由灾害发生地人民政府或相应应急（救援）指挥机构统一组织，根据需要可成立现场应急（救援）指挥部，实行现场指挥官制度，统一指挥调度，各有关单位按照职责参与应急处置工作。</w:t>
      </w:r>
    </w:p>
    <w:p>
      <w:pPr>
        <w:pStyle w:val="6"/>
        <w:bidi w:val="0"/>
        <w:ind w:left="0" w:leftChars="0" w:firstLine="0" w:firstLineChars="0"/>
        <w:rPr>
          <w:rFonts w:hint="eastAsia" w:ascii="仿宋_GB2312" w:hAnsi="仿宋_GB2312" w:eastAsia="仿宋_GB2312" w:cs="仿宋_GB2312"/>
          <w:b/>
          <w:bCs/>
          <w:sz w:val="32"/>
          <w:szCs w:val="32"/>
          <w:lang w:val="en-US" w:eastAsia="zh-CN"/>
        </w:rPr>
      </w:pPr>
      <w:bookmarkStart w:id="367" w:name="_Toc8850"/>
      <w:bookmarkStart w:id="368" w:name="_Toc12746"/>
      <w:bookmarkStart w:id="369" w:name="_Toc24411"/>
      <w:bookmarkStart w:id="370" w:name="_Toc25935"/>
      <w:bookmarkStart w:id="371" w:name="_Toc24645"/>
      <w:bookmarkStart w:id="372" w:name="_Toc1789"/>
      <w:bookmarkStart w:id="373" w:name="_Toc18265"/>
      <w:bookmarkStart w:id="374" w:name="_Toc15999"/>
      <w:bookmarkStart w:id="375" w:name="_Toc30760"/>
      <w:bookmarkStart w:id="376" w:name="_Toc11864"/>
      <w:bookmarkStart w:id="377" w:name="_Toc7049"/>
      <w:r>
        <w:rPr>
          <w:rFonts w:hint="eastAsia" w:ascii="仿宋_GB2312" w:hAnsi="仿宋_GB2312" w:eastAsia="仿宋_GB2312" w:cs="仿宋_GB2312"/>
          <w:b/>
          <w:bCs/>
          <w:sz w:val="32"/>
          <w:szCs w:val="32"/>
          <w:lang w:val="en-US" w:eastAsia="zh-CN"/>
        </w:rPr>
        <w:t>3.3.5.1 搜救人员</w:t>
      </w:r>
      <w:bookmarkEnd w:id="367"/>
      <w:bookmarkEnd w:id="368"/>
      <w:bookmarkEnd w:id="369"/>
      <w:bookmarkEnd w:id="370"/>
      <w:bookmarkEnd w:id="371"/>
      <w:bookmarkEnd w:id="372"/>
      <w:bookmarkEnd w:id="373"/>
      <w:bookmarkEnd w:id="374"/>
      <w:bookmarkEnd w:id="375"/>
      <w:bookmarkEnd w:id="376"/>
      <w:bookmarkEnd w:id="37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立即组织基层组织、有关单位和广大干部群众开展自救互救，立即采取交通管控等措施，组织协调当地部队、武警部队、民兵、消防救援、建筑和市政等各方面救援力量，调配大型吊车、起重机、挖掘机、生命探测仪等救援装备，抢救被掩埋人员，组织营救受灾被困人员。在灾区所在地质灾害应急指挥部统一领导协调下，现场救援队伍之间加强衔接和配合，合理划分责任区边界，遇有危险时及时传递警报，做好自身安全防护。</w:t>
      </w:r>
    </w:p>
    <w:p>
      <w:pPr>
        <w:pStyle w:val="6"/>
        <w:bidi w:val="0"/>
        <w:ind w:left="0" w:leftChars="0" w:firstLine="0" w:firstLineChars="0"/>
        <w:rPr>
          <w:rFonts w:hint="eastAsia" w:ascii="仿宋_GB2312" w:hAnsi="仿宋_GB2312" w:eastAsia="仿宋_GB2312" w:cs="仿宋_GB2312"/>
          <w:b/>
          <w:bCs/>
          <w:sz w:val="32"/>
          <w:szCs w:val="32"/>
          <w:lang w:val="en-US" w:eastAsia="zh-CN"/>
        </w:rPr>
      </w:pPr>
      <w:bookmarkStart w:id="378" w:name="_Toc9955"/>
      <w:bookmarkStart w:id="379" w:name="_Toc11353"/>
      <w:bookmarkStart w:id="380" w:name="_Toc14285"/>
      <w:bookmarkStart w:id="381" w:name="_Toc30104"/>
      <w:bookmarkStart w:id="382" w:name="_Toc11168"/>
      <w:bookmarkStart w:id="383" w:name="_Toc14351"/>
      <w:bookmarkStart w:id="384" w:name="_Toc23662"/>
      <w:bookmarkStart w:id="385" w:name="_Toc32192"/>
      <w:bookmarkStart w:id="386" w:name="_Toc12616"/>
      <w:bookmarkStart w:id="387" w:name="_Toc31128"/>
      <w:bookmarkStart w:id="388" w:name="_Toc28178"/>
      <w:r>
        <w:rPr>
          <w:rFonts w:hint="eastAsia" w:ascii="仿宋_GB2312" w:hAnsi="仿宋_GB2312" w:eastAsia="仿宋_GB2312" w:cs="仿宋_GB2312"/>
          <w:b/>
          <w:bCs/>
          <w:sz w:val="32"/>
          <w:szCs w:val="32"/>
          <w:lang w:val="en-US" w:eastAsia="zh-CN"/>
        </w:rPr>
        <w:t>3.3.5.2 开展医疗救治和卫生防疫</w:t>
      </w:r>
      <w:bookmarkEnd w:id="378"/>
      <w:bookmarkEnd w:id="379"/>
      <w:bookmarkEnd w:id="380"/>
      <w:bookmarkEnd w:id="381"/>
      <w:bookmarkEnd w:id="382"/>
      <w:bookmarkEnd w:id="383"/>
      <w:bookmarkEnd w:id="384"/>
      <w:bookmarkEnd w:id="385"/>
      <w:bookmarkEnd w:id="386"/>
      <w:bookmarkEnd w:id="387"/>
      <w:bookmarkEnd w:id="38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迅速协调组织应急医疗队伍赶赴现场，抢救受伤人员，必要时建立现场医疗点，实施现场救治。加强救护车、医疗器械、药品和血浆的组织调度，特别是加大对重灾区及偏远地区医疗器械、药品供应，确保被救人员得到及时医治，最大程度减少伤员致死、致残。统筹周边地区的医疗资源，根据需要分流重伤员，实施异地救治。开展灾后心理援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加强灾区卫生防疫工作。及时对灾区水源进行监测消毒，加强饮用水卫生监督；妥善处置遇难者遗体，做好死亡动物、医疗废弃物、生活垃圾、粪便等消毒和无害化处理。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加强鼠疫、狂犬病的监测、防控和处理，及时接种疫苗；实行重大传染病和突发卫生事件每日报告制度。</w:t>
      </w:r>
    </w:p>
    <w:p>
      <w:pPr>
        <w:pStyle w:val="6"/>
        <w:bidi w:val="0"/>
        <w:ind w:left="0" w:leftChars="0" w:firstLine="0" w:firstLineChars="0"/>
        <w:rPr>
          <w:rFonts w:hint="eastAsia" w:ascii="仿宋_GB2312" w:hAnsi="仿宋_GB2312" w:eastAsia="仿宋_GB2312" w:cs="仿宋_GB2312"/>
          <w:b/>
          <w:bCs/>
          <w:sz w:val="32"/>
          <w:szCs w:val="32"/>
          <w:lang w:val="en-US" w:eastAsia="zh-CN"/>
        </w:rPr>
      </w:pPr>
      <w:bookmarkStart w:id="389" w:name="_Toc25740"/>
      <w:bookmarkStart w:id="390" w:name="_Toc16887"/>
      <w:bookmarkStart w:id="391" w:name="_Toc29615"/>
      <w:bookmarkStart w:id="392" w:name="_Toc18391"/>
      <w:bookmarkStart w:id="393" w:name="_Toc22642"/>
      <w:bookmarkStart w:id="394" w:name="_Toc2037"/>
      <w:bookmarkStart w:id="395" w:name="_Toc18428"/>
      <w:bookmarkStart w:id="396" w:name="_Toc8724"/>
      <w:bookmarkStart w:id="397" w:name="_Toc3447"/>
      <w:bookmarkStart w:id="398" w:name="_Toc30207"/>
      <w:bookmarkStart w:id="399" w:name="_Toc21786"/>
      <w:r>
        <w:rPr>
          <w:rFonts w:hint="eastAsia" w:ascii="仿宋_GB2312" w:hAnsi="仿宋_GB2312" w:eastAsia="仿宋_GB2312" w:cs="仿宋_GB2312"/>
          <w:b/>
          <w:bCs/>
          <w:sz w:val="32"/>
          <w:szCs w:val="32"/>
          <w:lang w:val="en-US" w:eastAsia="zh-CN"/>
        </w:rPr>
        <w:t>3.3.5.3 安置受灾群众</w:t>
      </w:r>
      <w:bookmarkEnd w:id="389"/>
      <w:bookmarkEnd w:id="390"/>
      <w:bookmarkEnd w:id="391"/>
      <w:bookmarkEnd w:id="392"/>
      <w:bookmarkEnd w:id="393"/>
      <w:bookmarkEnd w:id="394"/>
      <w:bookmarkEnd w:id="395"/>
      <w:bookmarkEnd w:id="396"/>
      <w:bookmarkEnd w:id="397"/>
      <w:bookmarkEnd w:id="398"/>
      <w:bookmarkEnd w:id="39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开放应急避难场所，组织筹集和调运食品、饮用水、衣被、帐篷、移动厕所等各类救灾物资，解决受灾群众吃饭、饮水、穿衣、住处等问题；在受灾村镇、街道设置生活用品发放点，确保生活用品的有序发放；根据需要组织生产、调运、安装活动板房和简易房；在受灾群众集中安置点配备必要的消防设备器材，严防火灾发生。救灾物资优先保证学校、医院、福利院的需要；优先安置孤儿、孤老及残疾人员，确保其基本生活。鼓励采取投亲靠友等方式，广泛动员社会力量安置受灾群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做好遇难人员的善后工作，抚慰遇难者家属；积极创造条件，组织灾区学校复课。</w:t>
      </w:r>
    </w:p>
    <w:p>
      <w:pPr>
        <w:pStyle w:val="6"/>
        <w:bidi w:val="0"/>
        <w:ind w:left="0" w:leftChars="0" w:firstLine="0" w:firstLineChars="0"/>
        <w:rPr>
          <w:rFonts w:hint="eastAsia" w:ascii="仿宋_GB2312" w:hAnsi="仿宋_GB2312" w:eastAsia="仿宋_GB2312" w:cs="仿宋_GB2312"/>
          <w:b/>
          <w:bCs/>
          <w:sz w:val="32"/>
          <w:szCs w:val="32"/>
          <w:lang w:val="en-US" w:eastAsia="zh-CN"/>
        </w:rPr>
      </w:pPr>
      <w:bookmarkStart w:id="400" w:name="_Toc17556"/>
      <w:bookmarkStart w:id="401" w:name="_Toc27928"/>
      <w:bookmarkStart w:id="402" w:name="_Toc277"/>
      <w:bookmarkStart w:id="403" w:name="_Toc18730"/>
      <w:bookmarkStart w:id="404" w:name="_Toc26298"/>
      <w:bookmarkStart w:id="405" w:name="_Toc14154"/>
      <w:bookmarkStart w:id="406" w:name="_Toc20894"/>
      <w:bookmarkStart w:id="407" w:name="_Toc30797"/>
      <w:bookmarkStart w:id="408" w:name="_Toc20422"/>
      <w:bookmarkStart w:id="409" w:name="_Toc31828"/>
      <w:bookmarkStart w:id="410" w:name="_Toc29345"/>
      <w:r>
        <w:rPr>
          <w:rFonts w:hint="eastAsia" w:ascii="仿宋_GB2312" w:hAnsi="仿宋_GB2312" w:eastAsia="仿宋_GB2312" w:cs="仿宋_GB2312"/>
          <w:b/>
          <w:bCs/>
          <w:sz w:val="32"/>
          <w:szCs w:val="32"/>
          <w:lang w:val="en-US" w:eastAsia="zh-CN"/>
        </w:rPr>
        <w:t>3.3.5.4 抢修基础设施</w:t>
      </w:r>
      <w:bookmarkEnd w:id="400"/>
      <w:bookmarkEnd w:id="401"/>
      <w:bookmarkEnd w:id="402"/>
      <w:bookmarkEnd w:id="403"/>
      <w:bookmarkEnd w:id="404"/>
      <w:bookmarkEnd w:id="405"/>
      <w:bookmarkEnd w:id="406"/>
      <w:bookmarkEnd w:id="407"/>
      <w:bookmarkEnd w:id="408"/>
      <w:bookmarkEnd w:id="409"/>
      <w:bookmarkEnd w:id="4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抢通修复因灾损毁的机场、铁路、公路、桥梁、隧道、码头、航道及通航建筑物等交通基础设施，协调运力，优先保障应急抢险救援人员、救灾物资和伤病人员的运输需要。抢修供电、供水、供气、通信、广播电视等基础设施，保障灾区群众基本生活需要和应急工作需要。</w:t>
      </w:r>
    </w:p>
    <w:p>
      <w:pPr>
        <w:pStyle w:val="6"/>
        <w:bidi w:val="0"/>
        <w:ind w:left="0" w:leftChars="0" w:firstLine="0" w:firstLineChars="0"/>
        <w:rPr>
          <w:rFonts w:hint="eastAsia" w:ascii="仿宋_GB2312" w:hAnsi="仿宋_GB2312" w:eastAsia="仿宋_GB2312" w:cs="仿宋_GB2312"/>
          <w:b/>
          <w:bCs/>
          <w:sz w:val="32"/>
          <w:szCs w:val="32"/>
          <w:lang w:val="en-US" w:eastAsia="zh-CN"/>
        </w:rPr>
      </w:pPr>
      <w:bookmarkStart w:id="411" w:name="_Toc4393"/>
      <w:bookmarkStart w:id="412" w:name="_Toc2067"/>
      <w:bookmarkStart w:id="413" w:name="_Toc11946"/>
      <w:bookmarkStart w:id="414" w:name="_Toc14207"/>
      <w:bookmarkStart w:id="415" w:name="_Toc21649"/>
      <w:bookmarkStart w:id="416" w:name="_Toc1818"/>
      <w:bookmarkStart w:id="417" w:name="_Toc20750"/>
      <w:bookmarkStart w:id="418" w:name="_Toc14225"/>
      <w:bookmarkStart w:id="419" w:name="_Toc13779"/>
      <w:bookmarkStart w:id="420" w:name="_Toc13026"/>
      <w:bookmarkStart w:id="421" w:name="_Toc8192"/>
      <w:r>
        <w:rPr>
          <w:rFonts w:hint="eastAsia" w:ascii="仿宋_GB2312" w:hAnsi="仿宋_GB2312" w:eastAsia="仿宋_GB2312" w:cs="仿宋_GB2312"/>
          <w:b/>
          <w:bCs/>
          <w:sz w:val="32"/>
          <w:szCs w:val="32"/>
          <w:lang w:val="en-US" w:eastAsia="zh-CN"/>
        </w:rPr>
        <w:t>3.3.5.5 加强现场监测</w:t>
      </w:r>
      <w:bookmarkEnd w:id="411"/>
      <w:bookmarkEnd w:id="412"/>
      <w:bookmarkEnd w:id="413"/>
      <w:bookmarkEnd w:id="414"/>
      <w:bookmarkEnd w:id="415"/>
      <w:bookmarkEnd w:id="416"/>
      <w:bookmarkEnd w:id="417"/>
      <w:bookmarkEnd w:id="418"/>
      <w:bookmarkEnd w:id="419"/>
      <w:bookmarkEnd w:id="420"/>
      <w:bookmarkEnd w:id="42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然资源部门负责组织布设或恢复灾害现场及周边观测设施，加强灾害现场及周边地质灾害动态监测，依据监测结果进行分析研判并及时发出预报预警。气象部门加强气象监测研判，密切关注灾区重大气象变化，发布实时气象预报预警，确保救援现场人员安全。灾区所在地地质灾害应急指挥部安排专业力量加强空气、水源、土壤污染监测，减轻或消除污染危害。</w:t>
      </w:r>
    </w:p>
    <w:p>
      <w:pPr>
        <w:pStyle w:val="6"/>
        <w:bidi w:val="0"/>
        <w:ind w:left="0" w:leftChars="0" w:firstLine="0" w:firstLineChars="0"/>
        <w:rPr>
          <w:rFonts w:hint="eastAsia" w:ascii="仿宋_GB2312" w:hAnsi="仿宋_GB2312" w:eastAsia="仿宋_GB2312" w:cs="仿宋_GB2312"/>
          <w:b/>
          <w:bCs/>
          <w:sz w:val="32"/>
          <w:szCs w:val="32"/>
          <w:lang w:val="en-US" w:eastAsia="zh-CN"/>
        </w:rPr>
      </w:pPr>
      <w:bookmarkStart w:id="422" w:name="_Toc16800"/>
      <w:bookmarkStart w:id="423" w:name="_Toc31107"/>
      <w:bookmarkStart w:id="424" w:name="_Toc2345"/>
      <w:bookmarkStart w:id="425" w:name="_Toc236"/>
      <w:bookmarkStart w:id="426" w:name="_Toc12250"/>
      <w:bookmarkStart w:id="427" w:name="_Toc15798"/>
      <w:bookmarkStart w:id="428" w:name="_Toc20772"/>
      <w:bookmarkStart w:id="429" w:name="_Toc16072"/>
      <w:bookmarkStart w:id="430" w:name="_Toc8949"/>
      <w:bookmarkStart w:id="431" w:name="_Toc955"/>
      <w:bookmarkStart w:id="432" w:name="_Toc15840"/>
      <w:r>
        <w:rPr>
          <w:rFonts w:hint="eastAsia" w:ascii="仿宋_GB2312" w:hAnsi="仿宋_GB2312" w:eastAsia="仿宋_GB2312" w:cs="仿宋_GB2312"/>
          <w:b/>
          <w:bCs/>
          <w:sz w:val="32"/>
          <w:szCs w:val="32"/>
          <w:lang w:val="en-US" w:eastAsia="zh-CN"/>
        </w:rPr>
        <w:t>3.3.5.6 防御次生灾害</w:t>
      </w:r>
      <w:bookmarkEnd w:id="422"/>
      <w:bookmarkEnd w:id="423"/>
      <w:bookmarkEnd w:id="424"/>
      <w:bookmarkEnd w:id="425"/>
      <w:bookmarkEnd w:id="426"/>
      <w:bookmarkEnd w:id="427"/>
      <w:bookmarkEnd w:id="428"/>
      <w:bookmarkEnd w:id="429"/>
      <w:bookmarkEnd w:id="430"/>
      <w:bookmarkEnd w:id="431"/>
      <w:bookmarkEnd w:id="43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加强次生灾害监测预警，防范因降雨等天气变化再次发生滑坡、崩塌、泥石流等造成新的人员伤亡或交通堵塞；组织专家对周边水库、水电站、航运枢纽、堤坝、堰塞湖等开展险情排查、评估和除险加固，必要时组织下游危险地区人员转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加强危险化学品生产储存设备、输油气管道、输配电线路、煤矿、非煤矿山、尾矿库等受损情况组织排查，及时采取安全防范措施，做好事故防范处置工作。</w:t>
      </w:r>
    </w:p>
    <w:p>
      <w:pPr>
        <w:pStyle w:val="6"/>
        <w:bidi w:val="0"/>
        <w:ind w:left="0" w:leftChars="0" w:firstLine="0" w:firstLineChars="0"/>
        <w:rPr>
          <w:rFonts w:hint="eastAsia" w:ascii="仿宋_GB2312" w:hAnsi="仿宋_GB2312" w:eastAsia="仿宋_GB2312" w:cs="仿宋_GB2312"/>
          <w:b/>
          <w:bCs/>
          <w:sz w:val="32"/>
          <w:szCs w:val="32"/>
          <w:lang w:val="en-US" w:eastAsia="zh-CN"/>
        </w:rPr>
      </w:pPr>
      <w:bookmarkStart w:id="433" w:name="_Toc31342"/>
      <w:bookmarkStart w:id="434" w:name="_Toc21195"/>
      <w:bookmarkStart w:id="435" w:name="_Toc7824"/>
      <w:bookmarkStart w:id="436" w:name="_Toc21357"/>
      <w:bookmarkStart w:id="437" w:name="_Toc17143"/>
      <w:bookmarkStart w:id="438" w:name="_Toc17870"/>
      <w:bookmarkStart w:id="439" w:name="_Toc19893"/>
      <w:bookmarkStart w:id="440" w:name="_Toc18437"/>
      <w:bookmarkStart w:id="441" w:name="_Toc22690"/>
      <w:bookmarkStart w:id="442" w:name="_Toc21667"/>
      <w:bookmarkStart w:id="443" w:name="_Toc25818"/>
      <w:r>
        <w:rPr>
          <w:rFonts w:hint="eastAsia" w:ascii="仿宋_GB2312" w:hAnsi="仿宋_GB2312" w:eastAsia="仿宋_GB2312" w:cs="仿宋_GB2312"/>
          <w:b/>
          <w:bCs/>
          <w:sz w:val="32"/>
          <w:szCs w:val="32"/>
          <w:lang w:val="en-US" w:eastAsia="zh-CN"/>
        </w:rPr>
        <w:t>3.3.5.7 维护社会治安</w:t>
      </w:r>
      <w:bookmarkEnd w:id="433"/>
      <w:bookmarkEnd w:id="434"/>
      <w:bookmarkEnd w:id="435"/>
      <w:bookmarkEnd w:id="436"/>
      <w:bookmarkEnd w:id="437"/>
      <w:bookmarkEnd w:id="438"/>
      <w:bookmarkEnd w:id="439"/>
      <w:bookmarkEnd w:id="440"/>
      <w:bookmarkEnd w:id="441"/>
      <w:bookmarkEnd w:id="442"/>
      <w:bookmarkEnd w:id="44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加强灾区治安、道路交通管理，加强重点单位、重点部位治安防范工作，依法查处打击盗窃、抢劫、聚众哄抢、诈骗、造谣传谣等违法犯罪活动，做好涉灾涉稳风险监测、矛盾纠纷排查化解和法律服务工作，严密防范化解、妥善处置群体性事件，维护国家政治安全和社会稳定。</w:t>
      </w:r>
    </w:p>
    <w:p>
      <w:pPr>
        <w:pStyle w:val="5"/>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2"/>
        <w:rPr>
          <w:rFonts w:hint="eastAsia" w:ascii="楷体_GB2312" w:hAnsi="楷体_GB2312" w:eastAsia="楷体_GB2312" w:cs="楷体_GB2312"/>
          <w:b w:val="0"/>
          <w:bCs/>
          <w:lang w:eastAsia="zh-CN"/>
        </w:rPr>
      </w:pPr>
      <w:bookmarkStart w:id="444" w:name="_Toc9777"/>
      <w:bookmarkStart w:id="445" w:name="_Toc835"/>
      <w:bookmarkStart w:id="446" w:name="_Toc3977"/>
      <w:bookmarkStart w:id="447" w:name="_Toc27403"/>
      <w:bookmarkStart w:id="448" w:name="_Toc28307"/>
      <w:bookmarkStart w:id="449" w:name="_Toc5177"/>
      <w:bookmarkStart w:id="450" w:name="_Toc4329"/>
      <w:bookmarkStart w:id="451" w:name="_Toc15376"/>
      <w:bookmarkStart w:id="452" w:name="_Toc11202"/>
      <w:bookmarkStart w:id="453" w:name="_Toc30771"/>
      <w:bookmarkStart w:id="454" w:name="_Toc3221"/>
      <w:r>
        <w:rPr>
          <w:rFonts w:hint="eastAsia" w:ascii="楷体_GB2312" w:hAnsi="楷体_GB2312" w:eastAsia="楷体_GB2312" w:cs="楷体_GB2312"/>
          <w:b w:val="0"/>
          <w:bCs/>
          <w:lang w:eastAsia="zh-CN"/>
        </w:rPr>
        <w:t>3.3.6</w:t>
      </w:r>
      <w:r>
        <w:rPr>
          <w:rFonts w:hint="eastAsia" w:ascii="楷体_GB2312" w:hAnsi="楷体_GB2312" w:eastAsia="楷体_GB2312" w:cs="楷体_GB2312"/>
          <w:b w:val="0"/>
          <w:bCs/>
          <w:lang w:val="en-US" w:eastAsia="zh-CN"/>
        </w:rPr>
        <w:t xml:space="preserve"> </w:t>
      </w:r>
      <w:r>
        <w:rPr>
          <w:rFonts w:hint="eastAsia" w:ascii="楷体_GB2312" w:hAnsi="楷体_GB2312" w:eastAsia="楷体_GB2312" w:cs="楷体_GB2312"/>
          <w:b w:val="0"/>
          <w:bCs/>
          <w:lang w:eastAsia="zh-CN"/>
        </w:rPr>
        <w:t>社会动员</w:t>
      </w:r>
      <w:bookmarkEnd w:id="444"/>
      <w:bookmarkEnd w:id="445"/>
      <w:bookmarkEnd w:id="446"/>
      <w:bookmarkEnd w:id="447"/>
      <w:bookmarkEnd w:id="448"/>
      <w:bookmarkEnd w:id="449"/>
      <w:bookmarkEnd w:id="450"/>
      <w:bookmarkEnd w:id="451"/>
      <w:bookmarkEnd w:id="452"/>
      <w:bookmarkEnd w:id="453"/>
      <w:bookmarkEnd w:id="45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灾区人民政府（街道办事处）或应急（救援）指挥机构可根据地质灾害的危害程度和范围，调动社会力量参与应急处置，紧急情况下可依法征用和调用车辆、物资、人员等。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鼓励公民、法人和其他组织按照《中华人民共和国公益事业捐赠法》等有关法律法规的规定进行捐赠和援助。</w:t>
      </w:r>
    </w:p>
    <w:p>
      <w:pPr>
        <w:pStyle w:val="5"/>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2"/>
        <w:rPr>
          <w:rFonts w:hint="eastAsia" w:ascii="楷体_GB2312" w:hAnsi="楷体_GB2312" w:eastAsia="楷体_GB2312" w:cs="楷体_GB2312"/>
          <w:b w:val="0"/>
          <w:bCs/>
          <w:lang w:eastAsia="zh-CN"/>
        </w:rPr>
      </w:pPr>
      <w:bookmarkStart w:id="455" w:name="_Toc2872"/>
      <w:bookmarkStart w:id="456" w:name="_Toc18088"/>
      <w:bookmarkStart w:id="457" w:name="_Toc18442"/>
      <w:bookmarkStart w:id="458" w:name="_Toc28486"/>
      <w:bookmarkStart w:id="459" w:name="_Toc1428"/>
      <w:bookmarkStart w:id="460" w:name="_Toc32116"/>
      <w:bookmarkStart w:id="461" w:name="_Toc21469"/>
      <w:bookmarkStart w:id="462" w:name="_Toc4308"/>
      <w:bookmarkStart w:id="463" w:name="_Toc30641"/>
      <w:bookmarkStart w:id="464" w:name="_Toc24101"/>
      <w:bookmarkStart w:id="465" w:name="_Toc26633"/>
      <w:r>
        <w:rPr>
          <w:rFonts w:hint="eastAsia" w:ascii="楷体_GB2312" w:hAnsi="楷体_GB2312" w:eastAsia="楷体_GB2312" w:cs="楷体_GB2312"/>
          <w:b w:val="0"/>
          <w:bCs/>
          <w:lang w:eastAsia="zh-CN"/>
        </w:rPr>
        <w:t>3.3.7</w:t>
      </w:r>
      <w:r>
        <w:rPr>
          <w:rFonts w:hint="eastAsia" w:ascii="楷体_GB2312" w:hAnsi="楷体_GB2312" w:eastAsia="楷体_GB2312" w:cs="楷体_GB2312"/>
          <w:b w:val="0"/>
          <w:bCs/>
          <w:lang w:val="en-US" w:eastAsia="zh-CN"/>
        </w:rPr>
        <w:t xml:space="preserve"> </w:t>
      </w:r>
      <w:r>
        <w:rPr>
          <w:rFonts w:hint="eastAsia" w:ascii="楷体_GB2312" w:hAnsi="楷体_GB2312" w:eastAsia="楷体_GB2312" w:cs="楷体_GB2312"/>
          <w:b w:val="0"/>
          <w:bCs/>
          <w:lang w:eastAsia="zh-CN"/>
        </w:rPr>
        <w:t>响应终止</w:t>
      </w:r>
      <w:bookmarkEnd w:id="455"/>
      <w:bookmarkEnd w:id="456"/>
      <w:bookmarkEnd w:id="457"/>
      <w:bookmarkEnd w:id="458"/>
      <w:bookmarkEnd w:id="459"/>
      <w:bookmarkEnd w:id="460"/>
      <w:bookmarkEnd w:id="461"/>
      <w:bookmarkEnd w:id="462"/>
      <w:bookmarkEnd w:id="463"/>
      <w:bookmarkEnd w:id="464"/>
      <w:bookmarkEnd w:id="46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地质灾害或险情得到有效处置后，经专家组鉴定地质灾害险情或灾情已消除，或者得到有效控制后，当地县级人民政府撤消划定的地质灾害危险区，应急响应结束，由原来宣布启动应急响应的机关决定降低应急响应级别或终止应急响应。</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eastAsia" w:ascii="黑体" w:hAnsi="黑体" w:eastAsia="黑体" w:cs="黑体"/>
          <w:b w:val="0"/>
          <w:bCs w:val="0"/>
          <w:lang w:eastAsia="zh-CN"/>
        </w:rPr>
      </w:pPr>
      <w:bookmarkStart w:id="466" w:name="_Toc20281"/>
      <w:bookmarkStart w:id="467" w:name="_Toc9580"/>
      <w:bookmarkStart w:id="468" w:name="_Toc27788"/>
      <w:bookmarkStart w:id="469" w:name="_Toc21641"/>
      <w:bookmarkStart w:id="470" w:name="_Toc15446"/>
      <w:bookmarkStart w:id="471" w:name="_Toc14281"/>
      <w:bookmarkStart w:id="472" w:name="_Toc19329"/>
      <w:bookmarkStart w:id="473" w:name="_Toc31061"/>
      <w:bookmarkStart w:id="474" w:name="_Toc9287"/>
      <w:bookmarkStart w:id="475" w:name="_Toc6164"/>
      <w:bookmarkStart w:id="476" w:name="_Toc13529"/>
      <w:r>
        <w:rPr>
          <w:rFonts w:hint="eastAsia" w:ascii="黑体" w:hAnsi="黑体" w:eastAsia="黑体" w:cs="黑体"/>
          <w:b w:val="0"/>
          <w:bCs w:val="0"/>
          <w:lang w:eastAsia="zh-CN"/>
        </w:rPr>
        <w:t>3.4</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信息发布</w:t>
      </w:r>
      <w:bookmarkEnd w:id="466"/>
      <w:bookmarkEnd w:id="467"/>
      <w:bookmarkEnd w:id="468"/>
      <w:bookmarkEnd w:id="469"/>
      <w:bookmarkEnd w:id="470"/>
      <w:bookmarkEnd w:id="471"/>
      <w:bookmarkEnd w:id="472"/>
      <w:bookmarkEnd w:id="473"/>
      <w:bookmarkEnd w:id="474"/>
      <w:bookmarkEnd w:id="475"/>
      <w:bookmarkEnd w:id="47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突发地质灾害应急（救援）指挥机构要建立新闻发言人制度，按照分级响应权限做好相应级别的地质灾害信息发布相关工作。信息发布工作要确保及时、准确、客观、统一。</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eastAsia" w:ascii="黑体" w:hAnsi="黑体" w:eastAsia="黑体" w:cs="黑体"/>
          <w:b w:val="0"/>
          <w:bCs w:val="0"/>
          <w:lang w:eastAsia="zh-CN"/>
        </w:rPr>
      </w:pPr>
      <w:bookmarkStart w:id="477" w:name="_Toc9654"/>
      <w:bookmarkStart w:id="478" w:name="_Toc30380"/>
      <w:bookmarkStart w:id="479" w:name="_Toc30272"/>
      <w:bookmarkStart w:id="480" w:name="_Toc10973"/>
      <w:bookmarkStart w:id="481" w:name="_Toc23274"/>
      <w:bookmarkStart w:id="482" w:name="_Toc28237"/>
      <w:bookmarkStart w:id="483" w:name="_Toc27775"/>
      <w:bookmarkStart w:id="484" w:name="_Toc18793"/>
      <w:bookmarkStart w:id="485" w:name="_Toc16346"/>
      <w:bookmarkStart w:id="486" w:name="_Toc7486"/>
      <w:bookmarkStart w:id="487" w:name="_Toc1848"/>
      <w:r>
        <w:rPr>
          <w:rFonts w:hint="eastAsia" w:ascii="黑体" w:hAnsi="黑体" w:eastAsia="黑体" w:cs="黑体"/>
          <w:b w:val="0"/>
          <w:bCs w:val="0"/>
          <w:lang w:eastAsia="zh-CN"/>
        </w:rPr>
        <w:t>3.5</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恢复重建</w:t>
      </w:r>
      <w:bookmarkEnd w:id="477"/>
      <w:bookmarkEnd w:id="478"/>
      <w:bookmarkEnd w:id="479"/>
      <w:bookmarkEnd w:id="480"/>
      <w:bookmarkEnd w:id="481"/>
      <w:bookmarkEnd w:id="482"/>
      <w:bookmarkEnd w:id="483"/>
      <w:bookmarkEnd w:id="484"/>
      <w:bookmarkEnd w:id="485"/>
      <w:bookmarkEnd w:id="486"/>
      <w:bookmarkEnd w:id="487"/>
    </w:p>
    <w:p>
      <w:pPr>
        <w:pStyle w:val="5"/>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2"/>
        <w:rPr>
          <w:rFonts w:hint="eastAsia" w:ascii="楷体_GB2312" w:hAnsi="楷体_GB2312" w:eastAsia="楷体_GB2312" w:cs="楷体_GB2312"/>
          <w:b w:val="0"/>
          <w:bCs/>
          <w:lang w:eastAsia="zh-CN"/>
        </w:rPr>
      </w:pPr>
      <w:bookmarkStart w:id="488" w:name="_Toc29057"/>
      <w:bookmarkStart w:id="489" w:name="_Toc19254"/>
      <w:bookmarkStart w:id="490" w:name="_Toc10240"/>
      <w:bookmarkStart w:id="491" w:name="_Toc560"/>
      <w:bookmarkStart w:id="492" w:name="_Toc9278"/>
      <w:bookmarkStart w:id="493" w:name="_Toc4035"/>
      <w:bookmarkStart w:id="494" w:name="_Toc16"/>
      <w:bookmarkStart w:id="495" w:name="_Toc16781"/>
      <w:bookmarkStart w:id="496" w:name="_Toc28031"/>
      <w:bookmarkStart w:id="497" w:name="_Toc3138"/>
      <w:bookmarkStart w:id="498" w:name="_Toc115"/>
      <w:r>
        <w:rPr>
          <w:rFonts w:hint="eastAsia" w:ascii="楷体_GB2312" w:hAnsi="楷体_GB2312" w:eastAsia="楷体_GB2312" w:cs="楷体_GB2312"/>
          <w:b w:val="0"/>
          <w:bCs/>
          <w:lang w:eastAsia="zh-CN"/>
        </w:rPr>
        <w:t>3.5.1</w:t>
      </w:r>
      <w:r>
        <w:rPr>
          <w:rFonts w:hint="eastAsia" w:ascii="楷体_GB2312" w:hAnsi="楷体_GB2312" w:eastAsia="楷体_GB2312" w:cs="楷体_GB2312"/>
          <w:b w:val="0"/>
          <w:bCs/>
          <w:lang w:val="en-US" w:eastAsia="zh-CN"/>
        </w:rPr>
        <w:t xml:space="preserve"> </w:t>
      </w:r>
      <w:r>
        <w:rPr>
          <w:rFonts w:hint="eastAsia" w:ascii="楷体_GB2312" w:hAnsi="楷体_GB2312" w:eastAsia="楷体_GB2312" w:cs="楷体_GB2312"/>
          <w:b w:val="0"/>
          <w:bCs/>
          <w:lang w:eastAsia="zh-CN"/>
        </w:rPr>
        <w:t>制订规划</w:t>
      </w:r>
      <w:bookmarkEnd w:id="488"/>
      <w:bookmarkEnd w:id="489"/>
      <w:bookmarkEnd w:id="490"/>
      <w:bookmarkEnd w:id="491"/>
      <w:bookmarkEnd w:id="492"/>
      <w:bookmarkEnd w:id="493"/>
      <w:bookmarkEnd w:id="494"/>
      <w:bookmarkEnd w:id="495"/>
      <w:bookmarkEnd w:id="496"/>
      <w:bookmarkEnd w:id="497"/>
      <w:bookmarkEnd w:id="49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特别重大地质灾害应急处置结束后，按照国务院部署，由国务院有关部门或省、市、区人民政府组织编制灾后恢复重建规划；重大、较大、一般地质灾害，由省、市、区人民政府根据实际工作需要，分别组织编制灾后恢复重建规划。</w:t>
      </w:r>
    </w:p>
    <w:p>
      <w:pPr>
        <w:pStyle w:val="5"/>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2"/>
        <w:rPr>
          <w:rFonts w:hint="eastAsia" w:ascii="楷体_GB2312" w:hAnsi="楷体_GB2312" w:eastAsia="楷体_GB2312" w:cs="楷体_GB2312"/>
          <w:b w:val="0"/>
          <w:bCs/>
          <w:lang w:eastAsia="zh-CN"/>
        </w:rPr>
      </w:pPr>
      <w:bookmarkStart w:id="499" w:name="_Toc6983"/>
      <w:bookmarkStart w:id="500" w:name="_Toc10346"/>
      <w:bookmarkStart w:id="501" w:name="_Toc4507"/>
      <w:bookmarkStart w:id="502" w:name="_Toc27504"/>
      <w:bookmarkStart w:id="503" w:name="_Toc16655"/>
      <w:bookmarkStart w:id="504" w:name="_Toc23610"/>
      <w:bookmarkStart w:id="505" w:name="_Toc10732"/>
      <w:bookmarkStart w:id="506" w:name="_Toc30199"/>
      <w:bookmarkStart w:id="507" w:name="_Toc17803"/>
      <w:bookmarkStart w:id="508" w:name="_Toc17604"/>
      <w:bookmarkStart w:id="509" w:name="_Toc10354"/>
      <w:r>
        <w:rPr>
          <w:rFonts w:hint="eastAsia" w:ascii="楷体_GB2312" w:hAnsi="楷体_GB2312" w:eastAsia="楷体_GB2312" w:cs="楷体_GB2312"/>
          <w:b w:val="0"/>
          <w:bCs/>
          <w:lang w:eastAsia="zh-CN"/>
        </w:rPr>
        <w:t>3.5.2</w:t>
      </w:r>
      <w:r>
        <w:rPr>
          <w:rFonts w:hint="eastAsia" w:ascii="楷体_GB2312" w:hAnsi="楷体_GB2312" w:eastAsia="楷体_GB2312" w:cs="楷体_GB2312"/>
          <w:b w:val="0"/>
          <w:bCs/>
          <w:lang w:val="en-US" w:eastAsia="zh-CN"/>
        </w:rPr>
        <w:t xml:space="preserve"> </w:t>
      </w:r>
      <w:r>
        <w:rPr>
          <w:rFonts w:hint="eastAsia" w:ascii="楷体_GB2312" w:hAnsi="楷体_GB2312" w:eastAsia="楷体_GB2312" w:cs="楷体_GB2312"/>
          <w:b w:val="0"/>
          <w:bCs/>
          <w:lang w:eastAsia="zh-CN"/>
        </w:rPr>
        <w:t>征用补偿</w:t>
      </w:r>
      <w:bookmarkEnd w:id="499"/>
      <w:bookmarkEnd w:id="500"/>
      <w:bookmarkEnd w:id="501"/>
      <w:bookmarkEnd w:id="502"/>
      <w:bookmarkEnd w:id="503"/>
      <w:bookmarkEnd w:id="504"/>
      <w:bookmarkEnd w:id="505"/>
      <w:bookmarkEnd w:id="506"/>
      <w:bookmarkEnd w:id="507"/>
      <w:bookmarkEnd w:id="508"/>
      <w:bookmarkEnd w:id="50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地质灾害应急处置工作结束后，实施征用的人民政府要按照《广东省突发事件应对条例》有关规定及时返还被征用的物资和装备；造成毁损、灭失的，要按照国家、省、市、区的有关规定给予补偿。</w:t>
      </w:r>
    </w:p>
    <w:p>
      <w:pPr>
        <w:pStyle w:val="5"/>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2"/>
        <w:rPr>
          <w:rFonts w:hint="eastAsia" w:ascii="楷体_GB2312" w:hAnsi="楷体_GB2312" w:eastAsia="楷体_GB2312" w:cs="楷体_GB2312"/>
          <w:b w:val="0"/>
          <w:bCs/>
          <w:lang w:eastAsia="zh-CN"/>
        </w:rPr>
      </w:pPr>
      <w:bookmarkStart w:id="510" w:name="_Toc1602"/>
      <w:bookmarkStart w:id="511" w:name="_Toc1740"/>
      <w:bookmarkStart w:id="512" w:name="_Toc30309"/>
      <w:bookmarkStart w:id="513" w:name="_Toc22367"/>
      <w:bookmarkStart w:id="514" w:name="_Toc13684"/>
      <w:bookmarkStart w:id="515" w:name="_Toc29741"/>
      <w:bookmarkStart w:id="516" w:name="_Toc25624"/>
      <w:bookmarkStart w:id="517" w:name="_Toc19881"/>
      <w:bookmarkStart w:id="518" w:name="_Toc21455"/>
      <w:bookmarkStart w:id="519" w:name="_Toc2423"/>
      <w:bookmarkStart w:id="520" w:name="_Toc18201"/>
      <w:r>
        <w:rPr>
          <w:rFonts w:hint="eastAsia" w:ascii="楷体_GB2312" w:hAnsi="楷体_GB2312" w:eastAsia="楷体_GB2312" w:cs="楷体_GB2312"/>
          <w:b w:val="0"/>
          <w:bCs/>
          <w:lang w:eastAsia="zh-CN"/>
        </w:rPr>
        <w:t>3.5.3</w:t>
      </w:r>
      <w:r>
        <w:rPr>
          <w:rFonts w:hint="eastAsia" w:ascii="楷体_GB2312" w:hAnsi="楷体_GB2312" w:eastAsia="楷体_GB2312" w:cs="楷体_GB2312"/>
          <w:b w:val="0"/>
          <w:bCs/>
          <w:lang w:val="en-US" w:eastAsia="zh-CN"/>
        </w:rPr>
        <w:t xml:space="preserve"> </w:t>
      </w:r>
      <w:r>
        <w:rPr>
          <w:rFonts w:hint="eastAsia" w:ascii="楷体_GB2312" w:hAnsi="楷体_GB2312" w:eastAsia="楷体_GB2312" w:cs="楷体_GB2312"/>
          <w:b w:val="0"/>
          <w:bCs/>
          <w:lang w:eastAsia="zh-CN"/>
        </w:rPr>
        <w:t>灾害保险</w:t>
      </w:r>
      <w:bookmarkEnd w:id="510"/>
      <w:bookmarkEnd w:id="511"/>
      <w:bookmarkEnd w:id="512"/>
      <w:bookmarkEnd w:id="513"/>
      <w:bookmarkEnd w:id="514"/>
      <w:bookmarkEnd w:id="515"/>
      <w:bookmarkEnd w:id="516"/>
      <w:bookmarkEnd w:id="517"/>
      <w:bookmarkEnd w:id="518"/>
      <w:bookmarkEnd w:id="519"/>
      <w:bookmarkEnd w:id="52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鼓励商业保险公司开办地质灾害保险，鼓励企业、团体、组织和公众积极参加地质灾害商业保险和互助保险，不断完善公众灾害补偿保障机制。保险机构要根据灾情主动办理受灾单位、个人的人身和财产保险理赔事项，各相关单位要为保险理赔工作提供便利。</w:t>
      </w:r>
    </w:p>
    <w:p>
      <w:pPr>
        <w:pStyle w:val="2"/>
        <w:rPr>
          <w:lang w:eastAsia="zh-CN"/>
        </w:rPr>
      </w:pPr>
    </w:p>
    <w:p>
      <w:pPr>
        <w:pStyle w:val="3"/>
        <w:keepNext/>
        <w:keepLines/>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小标宋_GBK" w:hAnsi="方正小标宋_GBK" w:eastAsia="方正小标宋_GBK" w:cs="方正小标宋_GBK"/>
          <w:b w:val="0"/>
          <w:bCs/>
          <w:sz w:val="44"/>
          <w:szCs w:val="44"/>
          <w:lang w:eastAsia="zh-CN"/>
        </w:rPr>
      </w:pPr>
      <w:bookmarkStart w:id="521" w:name="_Toc5387"/>
      <w:bookmarkStart w:id="522" w:name="_Toc29459"/>
      <w:bookmarkStart w:id="523" w:name="_Toc27130"/>
      <w:bookmarkStart w:id="524" w:name="_Toc20647"/>
      <w:bookmarkStart w:id="525" w:name="_Toc16733"/>
      <w:bookmarkStart w:id="526" w:name="_Toc8251"/>
      <w:bookmarkStart w:id="527" w:name="_Toc18163"/>
      <w:bookmarkStart w:id="528" w:name="_Toc30442"/>
      <w:bookmarkStart w:id="529" w:name="_Toc30691"/>
      <w:bookmarkStart w:id="530" w:name="_Toc27657"/>
      <w:r>
        <w:rPr>
          <w:rFonts w:hint="eastAsia" w:ascii="方正小标宋_GBK" w:hAnsi="方正小标宋_GBK" w:eastAsia="方正小标宋_GBK" w:cs="方正小标宋_GBK"/>
          <w:b w:val="0"/>
          <w:bCs/>
          <w:sz w:val="44"/>
          <w:szCs w:val="44"/>
          <w:lang w:eastAsia="zh-CN"/>
        </w:rPr>
        <w:t>4</w:t>
      </w:r>
      <w:r>
        <w:rPr>
          <w:rFonts w:hint="eastAsia" w:ascii="方正小标宋_GBK" w:hAnsi="方正小标宋_GBK" w:eastAsia="方正小标宋_GBK" w:cs="方正小标宋_GBK"/>
          <w:b w:val="0"/>
          <w:bCs/>
          <w:sz w:val="44"/>
          <w:szCs w:val="44"/>
          <w:lang w:val="en-US" w:eastAsia="zh-CN"/>
        </w:rPr>
        <w:t xml:space="preserve"> </w:t>
      </w:r>
      <w:r>
        <w:rPr>
          <w:rFonts w:hint="eastAsia" w:ascii="方正小标宋_GBK" w:hAnsi="方正小标宋_GBK" w:eastAsia="方正小标宋_GBK" w:cs="方正小标宋_GBK"/>
          <w:b w:val="0"/>
          <w:bCs/>
          <w:sz w:val="44"/>
          <w:szCs w:val="44"/>
          <w:lang w:eastAsia="zh-CN"/>
        </w:rPr>
        <w:t>应急保障</w:t>
      </w:r>
      <w:bookmarkEnd w:id="521"/>
      <w:bookmarkEnd w:id="522"/>
      <w:bookmarkEnd w:id="523"/>
      <w:bookmarkEnd w:id="524"/>
      <w:bookmarkEnd w:id="525"/>
      <w:bookmarkEnd w:id="526"/>
      <w:bookmarkEnd w:id="527"/>
      <w:bookmarkEnd w:id="528"/>
      <w:bookmarkEnd w:id="529"/>
      <w:bookmarkEnd w:id="530"/>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eastAsia" w:ascii="黑体" w:hAnsi="黑体" w:eastAsia="黑体" w:cs="黑体"/>
          <w:b w:val="0"/>
          <w:bCs w:val="0"/>
          <w:lang w:eastAsia="zh-CN"/>
        </w:rPr>
      </w:pPr>
      <w:bookmarkStart w:id="531" w:name="_Toc14161"/>
      <w:bookmarkStart w:id="532" w:name="_Toc20573"/>
      <w:bookmarkStart w:id="533" w:name="_Toc8581"/>
      <w:bookmarkStart w:id="534" w:name="_Toc9558"/>
      <w:bookmarkStart w:id="535" w:name="_Toc12876"/>
      <w:bookmarkStart w:id="536" w:name="_Toc2929"/>
      <w:bookmarkStart w:id="537" w:name="_Toc18354"/>
      <w:bookmarkStart w:id="538" w:name="_Toc9448"/>
      <w:bookmarkStart w:id="539" w:name="_Toc4043"/>
      <w:bookmarkStart w:id="540" w:name="_Toc31312"/>
      <w:bookmarkStart w:id="541" w:name="_Toc5654"/>
      <w:r>
        <w:rPr>
          <w:rFonts w:hint="eastAsia" w:ascii="黑体" w:hAnsi="黑体" w:eastAsia="黑体" w:cs="黑体"/>
          <w:b w:val="0"/>
          <w:bCs w:val="0"/>
          <w:lang w:eastAsia="zh-CN"/>
        </w:rPr>
        <w:t>4.1</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队伍保障</w:t>
      </w:r>
      <w:bookmarkEnd w:id="531"/>
      <w:bookmarkEnd w:id="532"/>
      <w:bookmarkEnd w:id="533"/>
      <w:bookmarkEnd w:id="534"/>
      <w:bookmarkEnd w:id="535"/>
      <w:bookmarkEnd w:id="536"/>
      <w:bookmarkEnd w:id="537"/>
      <w:bookmarkEnd w:id="538"/>
      <w:bookmarkEnd w:id="539"/>
      <w:bookmarkEnd w:id="540"/>
      <w:bookmarkEnd w:id="54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各镇人民政府（街道办事处）以及区应急管理、消防救援等部门要加强地质灾害应急救援队伍建设，经常开展专业培训和演练，提高应对地质灾害的救援能力。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城市供水、供电、供气等生命线工程设施产权单位、管理或者生产经营单位要加强抢险、抢修队伍建设。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镇人民政府、街道办事处和有条件的社区组织，应组织动员社会力量，建立基层地质灾害抢险救灾队伍，加强日常防灾减灾救灾培训和演练工作。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color w:val="auto"/>
          <w:lang w:eastAsia="zh-CN"/>
        </w:rPr>
      </w:pPr>
      <w:r>
        <w:rPr>
          <w:rFonts w:hint="eastAsia" w:ascii="仿宋_GB2312" w:hAnsi="仿宋_GB2312" w:eastAsia="仿宋_GB2312" w:cs="仿宋_GB2312"/>
          <w:color w:val="auto"/>
          <w:sz w:val="32"/>
          <w:szCs w:val="32"/>
          <w:lang w:eastAsia="zh-CN"/>
        </w:rPr>
        <w:t>各镇（街道）、各有关单位要发挥共青团作用，依托社会团体、企事业单位及社区建立地质灾害应急救援志愿者队伍，形成广泛参与应急救援的社会动员机制。</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eastAsia" w:ascii="黑体" w:hAnsi="黑体" w:eastAsia="黑体" w:cs="黑体"/>
          <w:b w:val="0"/>
          <w:bCs w:val="0"/>
          <w:lang w:eastAsia="zh-CN"/>
        </w:rPr>
      </w:pPr>
      <w:bookmarkStart w:id="542" w:name="_Toc21818"/>
      <w:bookmarkStart w:id="543" w:name="_Toc9478"/>
      <w:bookmarkStart w:id="544" w:name="_Toc16231"/>
      <w:bookmarkStart w:id="545" w:name="_Toc27717"/>
      <w:bookmarkStart w:id="546" w:name="_Toc3543"/>
      <w:bookmarkStart w:id="547" w:name="_Toc4732"/>
      <w:bookmarkStart w:id="548" w:name="_Toc2109"/>
      <w:bookmarkStart w:id="549" w:name="_Toc14849"/>
      <w:bookmarkStart w:id="550" w:name="_Toc22742"/>
      <w:bookmarkStart w:id="551" w:name="_Toc24209"/>
      <w:bookmarkStart w:id="552" w:name="_Toc27378"/>
      <w:r>
        <w:rPr>
          <w:rFonts w:hint="eastAsia" w:ascii="黑体" w:hAnsi="黑体" w:eastAsia="黑体" w:cs="黑体"/>
          <w:b w:val="0"/>
          <w:bCs w:val="0"/>
          <w:lang w:eastAsia="zh-CN"/>
        </w:rPr>
        <w:t>4.2</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资金保障</w:t>
      </w:r>
      <w:bookmarkEnd w:id="542"/>
      <w:bookmarkEnd w:id="543"/>
      <w:bookmarkEnd w:id="544"/>
      <w:bookmarkEnd w:id="545"/>
      <w:bookmarkEnd w:id="546"/>
      <w:bookmarkEnd w:id="547"/>
      <w:bookmarkEnd w:id="548"/>
      <w:bookmarkEnd w:id="549"/>
      <w:bookmarkEnd w:id="550"/>
      <w:bookmarkEnd w:id="551"/>
      <w:bookmarkEnd w:id="552"/>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各镇人民政府、街道办事处要积极筹集资金，保障地质灾害灾区群众生活和恢复重建所需的有关资金。</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eastAsia" w:ascii="黑体" w:hAnsi="黑体" w:eastAsia="黑体" w:cs="黑体"/>
          <w:b w:val="0"/>
          <w:bCs w:val="0"/>
          <w:lang w:eastAsia="zh-CN"/>
        </w:rPr>
      </w:pPr>
      <w:bookmarkStart w:id="553" w:name="_Toc4564"/>
      <w:bookmarkStart w:id="554" w:name="_Toc11008"/>
      <w:bookmarkStart w:id="555" w:name="_Toc24744"/>
      <w:bookmarkStart w:id="556" w:name="_Toc18538"/>
      <w:bookmarkStart w:id="557" w:name="_Toc13053"/>
      <w:bookmarkStart w:id="558" w:name="_Toc9008"/>
      <w:bookmarkStart w:id="559" w:name="_Toc13044"/>
      <w:bookmarkStart w:id="560" w:name="_Toc14058"/>
      <w:bookmarkStart w:id="561" w:name="_Toc7519"/>
      <w:bookmarkStart w:id="562" w:name="_Toc21350"/>
      <w:bookmarkStart w:id="563" w:name="_Toc19381"/>
      <w:r>
        <w:rPr>
          <w:rFonts w:hint="eastAsia" w:ascii="黑体" w:hAnsi="黑体" w:eastAsia="黑体" w:cs="黑体"/>
          <w:b w:val="0"/>
          <w:bCs w:val="0"/>
          <w:lang w:eastAsia="zh-CN"/>
        </w:rPr>
        <w:t>4.3</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物资保障</w:t>
      </w:r>
      <w:bookmarkEnd w:id="553"/>
      <w:bookmarkEnd w:id="554"/>
      <w:bookmarkEnd w:id="555"/>
      <w:bookmarkEnd w:id="556"/>
      <w:bookmarkEnd w:id="557"/>
      <w:bookmarkEnd w:id="558"/>
      <w:bookmarkEnd w:id="559"/>
      <w:bookmarkEnd w:id="560"/>
      <w:bookmarkEnd w:id="561"/>
      <w:bookmarkEnd w:id="562"/>
      <w:bookmarkEnd w:id="563"/>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镇（街道）、各有关单位要建立健全应急物资储备网络和生产、调拨及紧急配送体系，保障地质灾害灾区所需生活救助物资、救援工程装备配备、医疗器械和药品等供应。各镇人民政府、街道办事处及有关单位要根据有关法律法规，做好应急物资储备工作，并通过与有关生产经营企业签订协议等方式，保障应急物资、生活必需品和应急处置装备的生产、供给。各街镇要配备卫星电话、对讲机等必要的通信装备，并确保通信畅通有效。</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eastAsia" w:ascii="黑体" w:hAnsi="黑体" w:eastAsia="黑体" w:cs="黑体"/>
          <w:b w:val="0"/>
          <w:bCs w:val="0"/>
          <w:lang w:eastAsia="zh-CN"/>
        </w:rPr>
      </w:pPr>
      <w:bookmarkStart w:id="564" w:name="_Toc21527"/>
      <w:bookmarkStart w:id="565" w:name="_Toc31712"/>
      <w:bookmarkStart w:id="566" w:name="_Toc23843"/>
      <w:bookmarkStart w:id="567" w:name="_Toc23129"/>
      <w:bookmarkStart w:id="568" w:name="_Toc29461"/>
      <w:bookmarkStart w:id="569" w:name="_Toc32082"/>
      <w:bookmarkStart w:id="570" w:name="_Toc2384"/>
      <w:bookmarkStart w:id="571" w:name="_Toc30831"/>
      <w:bookmarkStart w:id="572" w:name="_Toc31236"/>
      <w:bookmarkStart w:id="573" w:name="_Toc30529"/>
      <w:bookmarkStart w:id="574" w:name="_Toc23355"/>
      <w:r>
        <w:rPr>
          <w:rFonts w:hint="eastAsia" w:ascii="黑体" w:hAnsi="黑体" w:eastAsia="黑体" w:cs="黑体"/>
          <w:b w:val="0"/>
          <w:bCs w:val="0"/>
          <w:lang w:eastAsia="zh-CN"/>
        </w:rPr>
        <w:t>4.4</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避难场所保障</w:t>
      </w:r>
      <w:bookmarkEnd w:id="564"/>
      <w:bookmarkEnd w:id="565"/>
      <w:bookmarkEnd w:id="566"/>
      <w:bookmarkEnd w:id="567"/>
      <w:bookmarkEnd w:id="568"/>
      <w:bookmarkEnd w:id="569"/>
      <w:bookmarkEnd w:id="570"/>
      <w:bookmarkEnd w:id="571"/>
      <w:bookmarkEnd w:id="572"/>
      <w:bookmarkEnd w:id="573"/>
      <w:bookmarkEnd w:id="574"/>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各镇人民政府、街道办事处及有关单位要充分利用广场、绿地、公园、学校、体育场馆等公共设施，因地制宜设立应急避难场所，统筹安排交通、通信、供水、供电、排污、环保、物资储备等设备设施。</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学校、医院、影剧院、商场、酒店、体育场馆等人员密集场所要设置应急疏散通道，配备必要的救生避险设施，保障通道、出口的畅通。有关单位要定期检测、维护报警装置和应急救援设施，确保处于良好状态。</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eastAsia" w:ascii="黑体" w:hAnsi="黑体" w:eastAsia="黑体" w:cs="黑体"/>
          <w:b w:val="0"/>
          <w:bCs w:val="0"/>
          <w:lang w:eastAsia="zh-CN"/>
        </w:rPr>
      </w:pPr>
      <w:bookmarkStart w:id="575" w:name="_Toc6381"/>
      <w:bookmarkStart w:id="576" w:name="_Toc23071"/>
      <w:bookmarkStart w:id="577" w:name="_Toc23025"/>
      <w:bookmarkStart w:id="578" w:name="_Toc12257"/>
      <w:bookmarkStart w:id="579" w:name="_Toc28198"/>
      <w:bookmarkStart w:id="580" w:name="_Toc23626"/>
      <w:bookmarkStart w:id="581" w:name="_Toc2596"/>
      <w:bookmarkStart w:id="582" w:name="_Toc24804"/>
      <w:bookmarkStart w:id="583" w:name="_Toc7115"/>
      <w:bookmarkStart w:id="584" w:name="_Toc10391"/>
      <w:bookmarkStart w:id="585" w:name="_Toc20957"/>
      <w:r>
        <w:rPr>
          <w:rFonts w:hint="eastAsia" w:ascii="黑体" w:hAnsi="黑体" w:eastAsia="黑体" w:cs="黑体"/>
          <w:b w:val="0"/>
          <w:bCs w:val="0"/>
          <w:lang w:eastAsia="zh-CN"/>
        </w:rPr>
        <w:t>4.5</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基础设施保障</w:t>
      </w:r>
      <w:bookmarkEnd w:id="575"/>
      <w:bookmarkEnd w:id="576"/>
      <w:bookmarkEnd w:id="577"/>
      <w:bookmarkEnd w:id="578"/>
      <w:bookmarkEnd w:id="579"/>
      <w:bookmarkEnd w:id="580"/>
      <w:bookmarkEnd w:id="581"/>
      <w:bookmarkEnd w:id="582"/>
      <w:bookmarkEnd w:id="583"/>
      <w:bookmarkEnd w:id="584"/>
      <w:bookmarkEnd w:id="585"/>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通信管理部门要指导、协调电信运营企业建立有线与无线相结合、基础通信网络与机动通信系统相配套的应急通信保障体系，确保地质灾害应急救援工作的通信畅通。工业和信息化部门要负责保障应急无线电通信业务频率的正常使用。</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广播电视部门要完善广播电视传输覆盖网，建立完善应急广播体系，确保公众能及时、准确地获取政府部门发布的权威地质灾害信息。</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电力供应部门要及时修复受损毁的电力系统和设施，保障灾区应急装备和应急通信基础设施的临时供电需求以及灾区电力供应。</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发展改革、能源等部门要组织、协调相关企业排查油库、燃气管道安全隐患，及时修复受损设施，保障灾区居民基本生活和应急处置能源需求。</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公安、交通运输、民航、铁路等单位要建立健全公路、铁路、航空、水运紧急运输保障体系，加强统一指挥调度，采取必要的交通管制措施，建立应急救援“绿色通道”机制。</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eastAsia" w:ascii="黑体" w:hAnsi="黑体" w:eastAsia="黑体" w:cs="黑体"/>
          <w:b w:val="0"/>
          <w:bCs w:val="0"/>
          <w:lang w:eastAsia="zh-CN"/>
        </w:rPr>
      </w:pPr>
      <w:bookmarkStart w:id="586" w:name="_Toc3789"/>
      <w:bookmarkStart w:id="587" w:name="_Toc23971"/>
      <w:bookmarkStart w:id="588" w:name="_Toc31384"/>
      <w:bookmarkStart w:id="589" w:name="_Toc12016"/>
      <w:bookmarkStart w:id="590" w:name="_Toc29797"/>
      <w:bookmarkStart w:id="591" w:name="_Toc16487"/>
      <w:bookmarkStart w:id="592" w:name="_Toc6901"/>
      <w:bookmarkStart w:id="593" w:name="_Toc21865"/>
      <w:bookmarkStart w:id="594" w:name="_Toc16273"/>
      <w:bookmarkStart w:id="595" w:name="_Toc30966"/>
      <w:bookmarkStart w:id="596" w:name="_Toc7788"/>
      <w:r>
        <w:rPr>
          <w:rFonts w:hint="eastAsia" w:ascii="黑体" w:hAnsi="黑体" w:eastAsia="黑体" w:cs="黑体"/>
          <w:b w:val="0"/>
          <w:bCs w:val="0"/>
          <w:lang w:eastAsia="zh-CN"/>
        </w:rPr>
        <w:t>4.6</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平台保障</w:t>
      </w:r>
      <w:bookmarkEnd w:id="586"/>
      <w:bookmarkEnd w:id="587"/>
      <w:bookmarkEnd w:id="588"/>
      <w:bookmarkEnd w:id="589"/>
      <w:bookmarkEnd w:id="590"/>
      <w:bookmarkEnd w:id="591"/>
      <w:bookmarkEnd w:id="592"/>
      <w:bookmarkEnd w:id="593"/>
      <w:bookmarkEnd w:id="594"/>
      <w:bookmarkEnd w:id="595"/>
      <w:bookmarkEnd w:id="596"/>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急管理部门要综合利用自动监测、通信、计算机、遥感等技术，建立健全地质灾害应急指挥系统，形成上下贯通、反应灵敏、功能完善、统一高效的地质灾害应急救援指挥平台，实现险情灾情快速响应、应急指挥决策、灾害损失快速评估与动态跟踪、灾害趋势研判快速反馈。</w:t>
      </w:r>
    </w:p>
    <w:p>
      <w:pPr>
        <w:pStyle w:val="2"/>
        <w:rPr>
          <w:lang w:eastAsia="zh-CN"/>
        </w:rPr>
      </w:pPr>
    </w:p>
    <w:p>
      <w:pPr>
        <w:pStyle w:val="3"/>
        <w:keepNext/>
        <w:keepLines/>
        <w:pageBreakBefore w:val="0"/>
        <w:widowControl w:val="0"/>
        <w:kinsoku/>
        <w:wordWrap/>
        <w:overflowPunct/>
        <w:topLinePunct w:val="0"/>
        <w:autoSpaceDE/>
        <w:autoSpaceDN/>
        <w:bidi w:val="0"/>
        <w:adjustRightInd/>
        <w:snapToGrid/>
        <w:spacing w:before="100" w:beforeAutospacing="1" w:after="100" w:afterAutospacing="1" w:line="560" w:lineRule="exact"/>
        <w:ind w:left="0" w:leftChars="0" w:firstLine="0" w:firstLineChars="0"/>
        <w:textAlignment w:val="auto"/>
        <w:rPr>
          <w:rFonts w:hint="eastAsia" w:ascii="方正小标宋_GBK" w:hAnsi="方正小标宋_GBK" w:eastAsia="方正小标宋_GBK" w:cs="方正小标宋_GBK"/>
          <w:b w:val="0"/>
          <w:bCs/>
          <w:sz w:val="44"/>
          <w:szCs w:val="44"/>
          <w:lang w:eastAsia="zh-CN"/>
        </w:rPr>
      </w:pPr>
      <w:bookmarkStart w:id="597" w:name="_Toc3600"/>
      <w:bookmarkStart w:id="598" w:name="_Toc30318"/>
      <w:bookmarkStart w:id="599" w:name="_Toc29344"/>
      <w:bookmarkStart w:id="600" w:name="_Toc26409"/>
      <w:bookmarkStart w:id="601" w:name="_Toc25898"/>
      <w:bookmarkStart w:id="602" w:name="_Toc15032"/>
      <w:bookmarkStart w:id="603" w:name="_Toc17909"/>
      <w:bookmarkStart w:id="604" w:name="_Toc19123"/>
      <w:bookmarkStart w:id="605" w:name="_Toc24968"/>
      <w:bookmarkStart w:id="606" w:name="_Toc9743"/>
      <w:r>
        <w:rPr>
          <w:rFonts w:hint="eastAsia" w:ascii="方正小标宋_GBK" w:hAnsi="方正小标宋_GBK" w:eastAsia="方正小标宋_GBK" w:cs="方正小标宋_GBK"/>
          <w:b w:val="0"/>
          <w:bCs/>
          <w:sz w:val="44"/>
          <w:szCs w:val="44"/>
          <w:lang w:eastAsia="zh-CN"/>
        </w:rPr>
        <w:t>5</w:t>
      </w:r>
      <w:r>
        <w:rPr>
          <w:rFonts w:hint="eastAsia" w:ascii="方正小标宋_GBK" w:hAnsi="方正小标宋_GBK" w:eastAsia="方正小标宋_GBK" w:cs="方正小标宋_GBK"/>
          <w:b w:val="0"/>
          <w:bCs/>
          <w:sz w:val="44"/>
          <w:szCs w:val="44"/>
          <w:lang w:val="en-US" w:eastAsia="zh-CN"/>
        </w:rPr>
        <w:t xml:space="preserve"> </w:t>
      </w:r>
      <w:r>
        <w:rPr>
          <w:rFonts w:hint="eastAsia" w:ascii="方正小标宋_GBK" w:hAnsi="方正小标宋_GBK" w:eastAsia="方正小标宋_GBK" w:cs="方正小标宋_GBK"/>
          <w:b w:val="0"/>
          <w:bCs/>
          <w:sz w:val="44"/>
          <w:szCs w:val="44"/>
          <w:lang w:eastAsia="zh-CN"/>
        </w:rPr>
        <w:t>监督管理</w:t>
      </w:r>
      <w:bookmarkEnd w:id="597"/>
      <w:bookmarkEnd w:id="598"/>
      <w:bookmarkEnd w:id="599"/>
      <w:bookmarkEnd w:id="600"/>
      <w:bookmarkEnd w:id="601"/>
      <w:bookmarkEnd w:id="602"/>
      <w:bookmarkEnd w:id="603"/>
      <w:bookmarkEnd w:id="604"/>
      <w:bookmarkEnd w:id="605"/>
      <w:bookmarkEnd w:id="606"/>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eastAsia" w:ascii="黑体" w:hAnsi="黑体" w:eastAsia="黑体" w:cs="黑体"/>
          <w:b w:val="0"/>
          <w:bCs w:val="0"/>
          <w:lang w:eastAsia="zh-CN"/>
        </w:rPr>
      </w:pPr>
      <w:bookmarkStart w:id="607" w:name="_Toc22915"/>
      <w:bookmarkStart w:id="608" w:name="_Toc12946"/>
      <w:bookmarkStart w:id="609" w:name="_Toc15940"/>
      <w:bookmarkStart w:id="610" w:name="_Toc14977"/>
      <w:bookmarkStart w:id="611" w:name="_Toc18724"/>
      <w:bookmarkStart w:id="612" w:name="_Toc12834"/>
      <w:bookmarkStart w:id="613" w:name="_Toc18292"/>
      <w:bookmarkStart w:id="614" w:name="_Toc32573"/>
      <w:bookmarkStart w:id="615" w:name="_Toc21608"/>
      <w:bookmarkStart w:id="616" w:name="_Toc27356"/>
      <w:bookmarkStart w:id="617" w:name="_Toc3356"/>
      <w:r>
        <w:rPr>
          <w:rFonts w:hint="eastAsia" w:ascii="黑体" w:hAnsi="黑体" w:eastAsia="黑体" w:cs="黑体"/>
          <w:b w:val="0"/>
          <w:bCs w:val="0"/>
          <w:lang w:eastAsia="zh-CN"/>
        </w:rPr>
        <w:t>5.1</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预案演练</w:t>
      </w:r>
      <w:bookmarkEnd w:id="607"/>
      <w:bookmarkEnd w:id="608"/>
      <w:bookmarkEnd w:id="609"/>
      <w:bookmarkEnd w:id="610"/>
      <w:bookmarkEnd w:id="611"/>
      <w:bookmarkEnd w:id="612"/>
      <w:bookmarkEnd w:id="613"/>
      <w:bookmarkEnd w:id="614"/>
      <w:bookmarkEnd w:id="615"/>
      <w:bookmarkEnd w:id="616"/>
      <w:bookmarkEnd w:id="617"/>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区应急管理局会同区指挥部有关成员单位按照有关规定，定期或不定期组织本预案的应急演练。</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eastAsia" w:ascii="黑体" w:hAnsi="黑体" w:eastAsia="黑体" w:cs="黑体"/>
          <w:b w:val="0"/>
          <w:bCs w:val="0"/>
          <w:lang w:eastAsia="zh-CN"/>
        </w:rPr>
      </w:pPr>
      <w:bookmarkStart w:id="618" w:name="_Toc29930"/>
      <w:bookmarkStart w:id="619" w:name="_Toc30323"/>
      <w:bookmarkStart w:id="620" w:name="_Toc16459"/>
      <w:bookmarkStart w:id="621" w:name="_Toc26273"/>
      <w:bookmarkStart w:id="622" w:name="_Toc24113"/>
      <w:bookmarkStart w:id="623" w:name="_Toc19689"/>
      <w:bookmarkStart w:id="624" w:name="_Toc22790"/>
      <w:bookmarkStart w:id="625" w:name="_Toc7306"/>
      <w:bookmarkStart w:id="626" w:name="_Toc16922"/>
      <w:bookmarkStart w:id="627" w:name="_Toc26184"/>
      <w:bookmarkStart w:id="628" w:name="_Toc24536"/>
      <w:r>
        <w:rPr>
          <w:rFonts w:hint="eastAsia" w:ascii="黑体" w:hAnsi="黑体" w:eastAsia="黑体" w:cs="黑体"/>
          <w:b w:val="0"/>
          <w:bCs w:val="0"/>
          <w:lang w:eastAsia="zh-CN"/>
        </w:rPr>
        <w:t>5.2</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宣教培训</w:t>
      </w:r>
      <w:bookmarkEnd w:id="618"/>
      <w:bookmarkEnd w:id="619"/>
      <w:bookmarkEnd w:id="620"/>
      <w:bookmarkEnd w:id="621"/>
      <w:bookmarkEnd w:id="622"/>
      <w:bookmarkEnd w:id="623"/>
      <w:bookmarkEnd w:id="624"/>
      <w:bookmarkEnd w:id="625"/>
      <w:bookmarkEnd w:id="626"/>
      <w:bookmarkEnd w:id="627"/>
      <w:bookmarkEnd w:id="628"/>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镇（街道）、各有关单位要做好防灾减灾救灾科普知识的宣传教育工作，不断提高公众的防灾减灾救灾意识和自救互救能力。各镇人民政府、街道办事处及教育、人力资源社会保障、文化、广播电视、新闻媒体等单位要充分利用广播、电视、互联网、报纸等各种媒体，加大对防灾减灾救灾工作的宣传、培训力度。</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0" w:firstLineChars="0"/>
        <w:textAlignment w:val="auto"/>
        <w:outlineLvl w:val="1"/>
        <w:rPr>
          <w:rFonts w:hint="eastAsia" w:ascii="黑体" w:hAnsi="黑体" w:eastAsia="黑体" w:cs="黑体"/>
          <w:b w:val="0"/>
          <w:bCs w:val="0"/>
          <w:lang w:eastAsia="zh-CN"/>
        </w:rPr>
      </w:pPr>
      <w:bookmarkStart w:id="629" w:name="_Toc13455"/>
      <w:bookmarkStart w:id="630" w:name="_Toc22655"/>
      <w:bookmarkStart w:id="631" w:name="_Toc1256"/>
      <w:bookmarkStart w:id="632" w:name="_Toc14757"/>
      <w:bookmarkStart w:id="633" w:name="_Toc10332"/>
      <w:bookmarkStart w:id="634" w:name="_Toc18310"/>
      <w:bookmarkStart w:id="635" w:name="_Toc20576"/>
      <w:bookmarkStart w:id="636" w:name="_Toc30618"/>
      <w:bookmarkStart w:id="637" w:name="_Toc8284"/>
      <w:bookmarkStart w:id="638" w:name="_Toc27422"/>
      <w:bookmarkStart w:id="639" w:name="_Toc7645"/>
      <w:r>
        <w:rPr>
          <w:rFonts w:hint="eastAsia" w:ascii="黑体" w:hAnsi="黑体" w:eastAsia="黑体" w:cs="黑体"/>
          <w:b w:val="0"/>
          <w:bCs w:val="0"/>
          <w:lang w:eastAsia="zh-CN"/>
        </w:rPr>
        <w:t>5.3</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责任与奖惩</w:t>
      </w:r>
      <w:bookmarkEnd w:id="629"/>
      <w:bookmarkEnd w:id="630"/>
      <w:bookmarkEnd w:id="631"/>
      <w:bookmarkEnd w:id="632"/>
      <w:bookmarkEnd w:id="633"/>
      <w:bookmarkEnd w:id="634"/>
      <w:bookmarkEnd w:id="635"/>
      <w:bookmarkEnd w:id="636"/>
      <w:bookmarkEnd w:id="637"/>
      <w:bookmarkEnd w:id="638"/>
      <w:bookmarkEnd w:id="639"/>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镇人民政府、街道办事处对在地质灾害监测预警、综合治理、应急抢险、救援工作中作出突出贡献的先进集体和个人给予表彰和奖励。对玩忽职守、失职、渎职的有关责任人，要依据有关规定严肃追究责任，构成犯罪的，依法追究刑事责任。</w:t>
      </w:r>
    </w:p>
    <w:p>
      <w:pPr>
        <w:pStyle w:val="2"/>
        <w:rPr>
          <w:lang w:eastAsia="zh-CN"/>
        </w:rPr>
      </w:pPr>
    </w:p>
    <w:p>
      <w:pPr>
        <w:pStyle w:val="3"/>
        <w:keepNext/>
        <w:keepLines/>
        <w:pageBreakBefore w:val="0"/>
        <w:widowControl w:val="0"/>
        <w:kinsoku/>
        <w:wordWrap/>
        <w:overflowPunct/>
        <w:topLinePunct w:val="0"/>
        <w:autoSpaceDE/>
        <w:autoSpaceDN/>
        <w:bidi w:val="0"/>
        <w:adjustRightInd/>
        <w:snapToGrid/>
        <w:spacing w:before="100" w:beforeAutospacing="1" w:after="100" w:afterAutospacing="1" w:line="560" w:lineRule="exact"/>
        <w:ind w:left="0" w:leftChars="0" w:firstLine="0" w:firstLineChars="0"/>
        <w:textAlignment w:val="auto"/>
        <w:rPr>
          <w:rFonts w:hint="eastAsia" w:ascii="方正小标宋_GBK" w:hAnsi="方正小标宋_GBK" w:eastAsia="方正小标宋_GBK" w:cs="方正小标宋_GBK"/>
          <w:b w:val="0"/>
          <w:bCs/>
          <w:sz w:val="44"/>
          <w:szCs w:val="44"/>
          <w:lang w:eastAsia="zh-CN"/>
        </w:rPr>
      </w:pPr>
      <w:bookmarkStart w:id="640" w:name="_Toc17016"/>
      <w:bookmarkStart w:id="641" w:name="_Toc29920"/>
      <w:bookmarkStart w:id="642" w:name="_Toc29004"/>
      <w:bookmarkStart w:id="643" w:name="_Toc24166"/>
      <w:bookmarkStart w:id="644" w:name="_Toc32368"/>
      <w:bookmarkStart w:id="645" w:name="_Toc30975"/>
      <w:bookmarkStart w:id="646" w:name="_Toc31933"/>
      <w:bookmarkStart w:id="647" w:name="_Toc17376"/>
      <w:bookmarkStart w:id="648" w:name="_Toc12713"/>
      <w:bookmarkStart w:id="649" w:name="_Toc20070"/>
      <w:r>
        <w:rPr>
          <w:rFonts w:hint="eastAsia" w:ascii="方正小标宋_GBK" w:hAnsi="方正小标宋_GBK" w:eastAsia="方正小标宋_GBK" w:cs="方正小标宋_GBK"/>
          <w:b w:val="0"/>
          <w:bCs/>
          <w:sz w:val="44"/>
          <w:szCs w:val="44"/>
          <w:lang w:val="en-US" w:eastAsia="zh-CN"/>
        </w:rPr>
        <w:t xml:space="preserve">6 </w:t>
      </w:r>
      <w:r>
        <w:rPr>
          <w:rFonts w:hint="eastAsia" w:ascii="方正小标宋_GBK" w:hAnsi="方正小标宋_GBK" w:eastAsia="方正小标宋_GBK" w:cs="方正小标宋_GBK"/>
          <w:b w:val="0"/>
          <w:bCs/>
          <w:sz w:val="44"/>
          <w:szCs w:val="44"/>
          <w:lang w:eastAsia="zh-CN"/>
        </w:rPr>
        <w:t>附则</w:t>
      </w:r>
      <w:bookmarkEnd w:id="362"/>
      <w:bookmarkEnd w:id="363"/>
      <w:bookmarkEnd w:id="364"/>
      <w:bookmarkEnd w:id="365"/>
      <w:bookmarkEnd w:id="366"/>
      <w:bookmarkEnd w:id="640"/>
      <w:bookmarkEnd w:id="641"/>
      <w:bookmarkEnd w:id="642"/>
      <w:bookmarkEnd w:id="643"/>
      <w:bookmarkEnd w:id="644"/>
      <w:bookmarkEnd w:id="645"/>
      <w:bookmarkEnd w:id="646"/>
      <w:bookmarkEnd w:id="647"/>
      <w:bookmarkEnd w:id="648"/>
      <w:bookmarkEnd w:id="649"/>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0" w:firstLineChars="0"/>
        <w:jc w:val="both"/>
        <w:textAlignment w:val="auto"/>
        <w:outlineLvl w:val="1"/>
        <w:rPr>
          <w:rFonts w:hint="eastAsia" w:ascii="黑体" w:hAnsi="黑体" w:eastAsia="黑体" w:cs="黑体"/>
          <w:b w:val="0"/>
          <w:bCs w:val="0"/>
          <w:lang w:eastAsia="zh-CN"/>
        </w:rPr>
      </w:pPr>
      <w:bookmarkStart w:id="650" w:name="_Toc26023"/>
      <w:bookmarkStart w:id="651" w:name="_Toc7767"/>
      <w:bookmarkStart w:id="652" w:name="_Toc2955"/>
      <w:bookmarkStart w:id="653" w:name="_Toc27492"/>
      <w:bookmarkStart w:id="654" w:name="_Toc18536"/>
      <w:bookmarkStart w:id="655" w:name="_Toc25576"/>
      <w:bookmarkStart w:id="656" w:name="_Toc4499"/>
      <w:bookmarkStart w:id="657" w:name="_Toc5639"/>
      <w:bookmarkStart w:id="658" w:name="_Toc7919"/>
      <w:bookmarkStart w:id="659" w:name="_Toc23398"/>
      <w:r>
        <w:rPr>
          <w:rFonts w:hint="eastAsia" w:ascii="黑体" w:hAnsi="黑体" w:eastAsia="黑体" w:cs="黑体"/>
          <w:b w:val="0"/>
          <w:bCs w:val="0"/>
          <w:lang w:eastAsia="zh-CN"/>
        </w:rPr>
        <w:t>6.1</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名词术语</w:t>
      </w:r>
      <w:bookmarkEnd w:id="650"/>
      <w:bookmarkEnd w:id="651"/>
      <w:bookmarkEnd w:id="652"/>
      <w:bookmarkEnd w:id="653"/>
      <w:bookmarkEnd w:id="654"/>
      <w:bookmarkEnd w:id="655"/>
      <w:bookmarkEnd w:id="656"/>
      <w:bookmarkEnd w:id="657"/>
      <w:bookmarkEnd w:id="658"/>
      <w:bookmarkEnd w:id="659"/>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（1）地质灾害易发区是指具备地质灾害发生的地质构造、地形地貌和气候条件，容易发生地质灾害的区域。</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（2）地质灾害危险区是指已经出现地质灾害迹象，明显可能发生地质灾害且可能造成人员伤亡和经济损失的区域或地段。</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（3）次生灾害是指由地质灾害造成的工程结构、设施和自然环境破坏而引发的灾害，如水灾、爆炸及剧毒和强腐蚀性物质泄漏等。</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（4）本预案有关数量的表述中，“以上”含本数，“以下”不含本数。</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（5）生命线设施是指供电、供水、排水、燃气、热力、供油系统以及通信、交通等公用设施。</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直接经济损失是指地质灾害及次生灾害造成的物质破坏，包括房屋和其他工程结构设施、物品等破坏引起的经济损失，建筑物和其他工程结构、设施、设备、财物等破坏而引起的经济损失，以重置所需费用计算。不包括文物古迹和非实物财产，如货币、有价证券等损失。场地和文物古迹破坏不折算为经济损失，只描述破坏状态。</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0" w:firstLineChars="0"/>
        <w:jc w:val="both"/>
        <w:textAlignment w:val="auto"/>
        <w:rPr>
          <w:b w:val="0"/>
          <w:bCs w:val="0"/>
          <w:lang w:eastAsia="zh-CN"/>
        </w:rPr>
      </w:pPr>
      <w:bookmarkStart w:id="660" w:name="_Toc19942"/>
      <w:bookmarkStart w:id="661" w:name="_Toc28701"/>
      <w:bookmarkStart w:id="662" w:name="_Toc12461"/>
      <w:bookmarkStart w:id="663" w:name="_Toc32553"/>
      <w:bookmarkStart w:id="664" w:name="_Toc9698"/>
      <w:bookmarkStart w:id="665" w:name="_Toc16009"/>
      <w:bookmarkStart w:id="666" w:name="_Toc12328"/>
      <w:bookmarkStart w:id="667" w:name="_Toc16776"/>
      <w:bookmarkStart w:id="668" w:name="_Toc27493"/>
      <w:bookmarkStart w:id="669" w:name="_Toc10722"/>
      <w:r>
        <w:rPr>
          <w:rFonts w:hint="eastAsia" w:ascii="黑体" w:hAnsi="黑体" w:eastAsia="黑体" w:cs="黑体"/>
          <w:b w:val="0"/>
          <w:bCs w:val="0"/>
          <w:lang w:eastAsia="zh-CN"/>
        </w:rPr>
        <w:t>6.2</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预案管理</w:t>
      </w:r>
      <w:bookmarkEnd w:id="660"/>
      <w:bookmarkEnd w:id="661"/>
      <w:bookmarkEnd w:id="662"/>
      <w:bookmarkEnd w:id="663"/>
      <w:bookmarkEnd w:id="664"/>
      <w:bookmarkEnd w:id="665"/>
      <w:bookmarkEnd w:id="666"/>
      <w:bookmarkEnd w:id="667"/>
      <w:bookmarkEnd w:id="668"/>
      <w:bookmarkEnd w:id="669"/>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本预案由区应急管理局会同有关部门、单位组织制订，报区人民政府批准后印发实施。由区应急管理局负责解释。</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0" w:firstLineChars="0"/>
        <w:jc w:val="both"/>
        <w:textAlignment w:val="auto"/>
        <w:rPr>
          <w:rFonts w:hint="eastAsia" w:ascii="黑体" w:hAnsi="黑体" w:eastAsia="黑体" w:cs="黑体"/>
          <w:b w:val="0"/>
          <w:bCs w:val="0"/>
          <w:lang w:eastAsia="zh-CN"/>
        </w:rPr>
      </w:pPr>
      <w:bookmarkStart w:id="670" w:name="_Toc13097"/>
      <w:bookmarkStart w:id="671" w:name="_Toc10807"/>
      <w:bookmarkStart w:id="672" w:name="_Toc1635"/>
      <w:bookmarkStart w:id="673" w:name="_Toc6667"/>
      <w:bookmarkStart w:id="674" w:name="_Toc17302"/>
      <w:bookmarkStart w:id="675" w:name="_Toc12517"/>
      <w:bookmarkStart w:id="676" w:name="_Toc1787"/>
      <w:bookmarkStart w:id="677" w:name="_Toc15264"/>
      <w:bookmarkStart w:id="678" w:name="_Toc22168"/>
      <w:bookmarkStart w:id="679" w:name="_Toc3837"/>
      <w:r>
        <w:rPr>
          <w:rFonts w:hint="eastAsia" w:ascii="黑体" w:hAnsi="黑体" w:eastAsia="黑体" w:cs="黑体"/>
          <w:b w:val="0"/>
          <w:bCs w:val="0"/>
          <w:lang w:eastAsia="zh-CN"/>
        </w:rPr>
        <w:t>6.3</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预案衔接</w:t>
      </w:r>
      <w:bookmarkEnd w:id="670"/>
      <w:bookmarkEnd w:id="671"/>
      <w:bookmarkEnd w:id="672"/>
      <w:bookmarkEnd w:id="673"/>
      <w:bookmarkEnd w:id="674"/>
      <w:bookmarkEnd w:id="675"/>
      <w:bookmarkEnd w:id="676"/>
      <w:bookmarkEnd w:id="677"/>
      <w:bookmarkEnd w:id="678"/>
      <w:bookmarkEnd w:id="679"/>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镇人民政府、街道办事处制定本行政区域突发地质灾害应急预案，报区应急管理部门备案。有关主管部门、单位要按照本预案规定认真履行职责，并结合实际制定本部门、本单位的突发地质灾害应急预案，报同级应急管理部门备案。</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各镇人民政府、街道办事处突发地质灾害应急预案要与上级突发地质灾害应急预案相衔接。</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0" w:firstLineChars="0"/>
        <w:jc w:val="both"/>
        <w:textAlignment w:val="auto"/>
        <w:rPr>
          <w:rFonts w:hint="eastAsia" w:ascii="黑体" w:hAnsi="黑体" w:eastAsia="黑体" w:cs="黑体"/>
          <w:b w:val="0"/>
          <w:bCs w:val="0"/>
          <w:lang w:eastAsia="zh-CN"/>
        </w:rPr>
      </w:pPr>
      <w:bookmarkStart w:id="680" w:name="_Toc22307"/>
      <w:bookmarkStart w:id="681" w:name="_Toc1171"/>
      <w:bookmarkStart w:id="682" w:name="_Toc4542"/>
      <w:bookmarkStart w:id="683" w:name="_Toc6136"/>
      <w:bookmarkStart w:id="684" w:name="_Toc25094"/>
      <w:bookmarkStart w:id="685" w:name="_Toc16195"/>
      <w:bookmarkStart w:id="686" w:name="_Toc28540"/>
      <w:bookmarkStart w:id="687" w:name="_Toc26737"/>
      <w:bookmarkStart w:id="688" w:name="_Toc5972"/>
      <w:bookmarkStart w:id="689" w:name="_Toc22225"/>
      <w:r>
        <w:rPr>
          <w:rFonts w:hint="eastAsia" w:ascii="黑体" w:hAnsi="黑体" w:eastAsia="黑体" w:cs="黑体"/>
          <w:b w:val="0"/>
          <w:bCs w:val="0"/>
          <w:lang w:eastAsia="zh-CN"/>
        </w:rPr>
        <w:t>6.4</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预案实施时间</w:t>
      </w:r>
      <w:bookmarkEnd w:id="680"/>
      <w:bookmarkEnd w:id="681"/>
      <w:bookmarkEnd w:id="682"/>
      <w:bookmarkEnd w:id="683"/>
      <w:bookmarkEnd w:id="684"/>
      <w:bookmarkEnd w:id="685"/>
      <w:bookmarkEnd w:id="686"/>
      <w:bookmarkEnd w:id="687"/>
      <w:bookmarkEnd w:id="688"/>
      <w:bookmarkEnd w:id="689"/>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本预案自公布之日起实施。2015年清城区政府办公室印发的《清城区突发地质灾害应急预案》（城区府办发〔2015〕20号）自即日起废止。</w:t>
      </w:r>
    </w:p>
    <w:p>
      <w:pPr>
        <w:pStyle w:val="3"/>
        <w:keepNext/>
        <w:keepLines/>
        <w:pageBreakBefore w:val="0"/>
        <w:widowControl w:val="0"/>
        <w:kinsoku/>
        <w:wordWrap/>
        <w:overflowPunct/>
        <w:topLinePunct w:val="0"/>
        <w:autoSpaceDE/>
        <w:autoSpaceDN/>
        <w:bidi w:val="0"/>
        <w:adjustRightInd/>
        <w:snapToGrid/>
        <w:spacing w:before="100" w:beforeAutospacing="1" w:after="100" w:afterAutospacing="1" w:line="560" w:lineRule="exact"/>
        <w:ind w:left="0" w:leftChars="0" w:firstLine="0" w:firstLineChars="0"/>
        <w:textAlignment w:val="auto"/>
        <w:rPr>
          <w:rFonts w:hint="eastAsia" w:ascii="方正小标宋_GBK" w:hAnsi="方正小标宋_GBK" w:eastAsia="方正小标宋_GBK" w:cs="方正小标宋_GBK"/>
          <w:b w:val="0"/>
          <w:bCs/>
          <w:sz w:val="44"/>
          <w:szCs w:val="44"/>
          <w:lang w:val="en-US" w:eastAsia="zh-CN"/>
        </w:rPr>
      </w:pPr>
      <w:bookmarkStart w:id="690" w:name="_Toc4427"/>
      <w:bookmarkStart w:id="691" w:name="_Toc23982"/>
      <w:bookmarkStart w:id="692" w:name="_Toc26708"/>
      <w:bookmarkStart w:id="693" w:name="_Toc25257"/>
      <w:bookmarkStart w:id="694" w:name="_Toc17973"/>
      <w:bookmarkStart w:id="695" w:name="_Toc23523"/>
      <w:bookmarkStart w:id="696" w:name="_Toc19118"/>
      <w:bookmarkStart w:id="697" w:name="_Toc16233"/>
      <w:bookmarkStart w:id="698" w:name="_Toc24157"/>
      <w:r>
        <w:rPr>
          <w:rFonts w:hint="eastAsia" w:ascii="方正小标宋_GBK" w:hAnsi="方正小标宋_GBK" w:eastAsia="方正小标宋_GBK" w:cs="方正小标宋_GBK"/>
          <w:b w:val="0"/>
          <w:bCs/>
          <w:sz w:val="44"/>
          <w:szCs w:val="44"/>
          <w:lang w:val="en-US" w:eastAsia="zh-CN"/>
        </w:rPr>
        <w:t>7 附件</w:t>
      </w:r>
      <w:bookmarkEnd w:id="690"/>
      <w:bookmarkEnd w:id="691"/>
      <w:bookmarkEnd w:id="692"/>
      <w:bookmarkEnd w:id="693"/>
      <w:bookmarkEnd w:id="694"/>
      <w:bookmarkEnd w:id="695"/>
      <w:bookmarkEnd w:id="696"/>
      <w:bookmarkEnd w:id="697"/>
      <w:bookmarkEnd w:id="698"/>
    </w:p>
    <w:p>
      <w:pPr>
        <w:ind w:firstLine="640" w:firstLineChars="200"/>
        <w:jc w:val="both"/>
        <w:outlineLvl w:val="9"/>
        <w:rPr>
          <w:rFonts w:hint="eastAsia" w:ascii="仿宋_GB2312" w:hAnsi="仿宋_GB2312" w:eastAsia="仿宋_GB2312" w:cs="仿宋_GB2312"/>
          <w:color w:val="auto"/>
          <w:sz w:val="32"/>
          <w:szCs w:val="32"/>
          <w:lang w:eastAsia="zh-CN"/>
        </w:rPr>
      </w:pPr>
      <w:bookmarkStart w:id="699" w:name="_Toc25028"/>
    </w:p>
    <w:p>
      <w:pPr>
        <w:ind w:firstLine="640" w:firstLineChars="200"/>
        <w:jc w:val="both"/>
        <w:outlineLvl w:val="9"/>
        <w:rPr>
          <w:rFonts w:hint="eastAsia" w:ascii="仿宋_GB2312" w:hAnsi="仿宋_GB2312" w:eastAsia="仿宋_GB2312" w:cs="仿宋_GB2312"/>
          <w:color w:val="auto"/>
          <w:sz w:val="32"/>
          <w:szCs w:val="32"/>
          <w:lang w:eastAsia="zh-CN"/>
        </w:rPr>
      </w:pPr>
    </w:p>
    <w:p>
      <w:pPr>
        <w:ind w:firstLine="640" w:firstLineChars="200"/>
        <w:jc w:val="both"/>
        <w:outlineLvl w:val="9"/>
        <w:rPr>
          <w:rFonts w:hint="eastAsia" w:ascii="仿宋_GB2312" w:hAnsi="仿宋_GB2312" w:eastAsia="仿宋_GB2312" w:cs="仿宋_GB2312"/>
          <w:color w:val="auto"/>
          <w:sz w:val="32"/>
          <w:szCs w:val="32"/>
          <w:lang w:eastAsia="zh-CN"/>
        </w:rPr>
      </w:pPr>
    </w:p>
    <w:p>
      <w:pPr>
        <w:ind w:firstLine="640" w:firstLineChars="200"/>
        <w:jc w:val="both"/>
        <w:outlineLvl w:val="9"/>
        <w:rPr>
          <w:rFonts w:hint="eastAsia" w:ascii="仿宋_GB2312" w:hAnsi="仿宋_GB2312" w:eastAsia="仿宋_GB2312" w:cs="仿宋_GB2312"/>
          <w:color w:val="auto"/>
          <w:sz w:val="32"/>
          <w:szCs w:val="32"/>
          <w:lang w:eastAsia="zh-CN"/>
        </w:rPr>
      </w:pPr>
    </w:p>
    <w:p>
      <w:pPr>
        <w:ind w:firstLine="640" w:firstLineChars="200"/>
        <w:jc w:val="both"/>
        <w:outlineLvl w:val="9"/>
        <w:rPr>
          <w:rFonts w:hint="eastAsia" w:ascii="仿宋_GB2312" w:hAnsi="仿宋_GB2312" w:eastAsia="仿宋_GB2312" w:cs="仿宋_GB2312"/>
          <w:color w:val="auto"/>
          <w:sz w:val="32"/>
          <w:szCs w:val="32"/>
          <w:lang w:eastAsia="zh-CN"/>
        </w:rPr>
      </w:pPr>
    </w:p>
    <w:p>
      <w:pPr>
        <w:ind w:firstLine="640" w:firstLineChars="200"/>
        <w:jc w:val="both"/>
        <w:outlineLvl w:val="9"/>
        <w:rPr>
          <w:rFonts w:hint="eastAsia" w:ascii="仿宋_GB2312" w:hAnsi="仿宋_GB2312" w:eastAsia="仿宋_GB2312" w:cs="仿宋_GB2312"/>
          <w:color w:val="auto"/>
          <w:sz w:val="32"/>
          <w:szCs w:val="32"/>
          <w:lang w:eastAsia="zh-CN"/>
        </w:rPr>
      </w:pPr>
    </w:p>
    <w:p>
      <w:pPr>
        <w:ind w:firstLine="640" w:firstLineChars="200"/>
        <w:jc w:val="both"/>
        <w:outlineLvl w:val="9"/>
        <w:rPr>
          <w:rFonts w:hint="eastAsia" w:ascii="仿宋_GB2312" w:hAnsi="仿宋_GB2312" w:eastAsia="仿宋_GB2312" w:cs="仿宋_GB2312"/>
          <w:color w:val="auto"/>
          <w:sz w:val="32"/>
          <w:szCs w:val="32"/>
          <w:lang w:eastAsia="zh-CN"/>
        </w:rPr>
      </w:pPr>
    </w:p>
    <w:p>
      <w:pPr>
        <w:ind w:firstLine="640" w:firstLineChars="200"/>
        <w:jc w:val="both"/>
        <w:outlineLvl w:val="9"/>
        <w:rPr>
          <w:rFonts w:hint="eastAsia" w:ascii="仿宋_GB2312" w:hAnsi="仿宋_GB2312" w:eastAsia="仿宋_GB2312" w:cs="仿宋_GB2312"/>
          <w:color w:val="auto"/>
          <w:sz w:val="32"/>
          <w:szCs w:val="32"/>
          <w:lang w:eastAsia="zh-CN"/>
        </w:rPr>
      </w:pPr>
    </w:p>
    <w:p>
      <w:pPr>
        <w:jc w:val="both"/>
        <w:outlineLvl w:val="9"/>
        <w:rPr>
          <w:rFonts w:hint="eastAsia"/>
          <w:lang w:eastAsia="zh-CN"/>
        </w:rPr>
      </w:pPr>
      <w:r>
        <w:rPr>
          <w:rFonts w:hint="eastAsia" w:ascii="仿宋_GB2312" w:hAnsi="仿宋_GB2312" w:eastAsia="仿宋_GB2312" w:cs="仿宋_GB2312"/>
          <w:color w:val="auto"/>
          <w:sz w:val="32"/>
          <w:szCs w:val="32"/>
          <w:lang w:eastAsia="zh-CN"/>
        </w:rPr>
        <w:br w:type="page"/>
      </w:r>
      <w:bookmarkStart w:id="700" w:name="_Toc15112"/>
      <w:bookmarkStart w:id="701" w:name="_Toc23941"/>
      <w:bookmarkStart w:id="702" w:name="_Toc27807"/>
    </w:p>
    <w:p>
      <w:pPr>
        <w:pStyle w:val="4"/>
        <w:bidi w:val="0"/>
        <w:ind w:left="0" w:leftChars="0" w:firstLine="0" w:firstLineChars="0"/>
        <w:jc w:val="both"/>
        <w:outlineLvl w:val="0"/>
        <w:rPr>
          <w:rFonts w:hint="eastAsia" w:ascii="黑体" w:hAnsi="黑体" w:eastAsia="黑体" w:cs="黑体"/>
          <w:b w:val="0"/>
          <w:bCs w:val="0"/>
          <w:lang w:eastAsia="zh-CN"/>
        </w:rPr>
      </w:pPr>
      <w:bookmarkStart w:id="703" w:name="_Toc24149"/>
      <w:bookmarkStart w:id="704" w:name="_Toc11675"/>
      <w:bookmarkStart w:id="705" w:name="_Toc12361"/>
      <w:bookmarkStart w:id="706" w:name="_Toc14649"/>
      <w:bookmarkStart w:id="707" w:name="_Toc25838"/>
      <w:bookmarkStart w:id="708" w:name="_Toc28525"/>
      <w:bookmarkStart w:id="709" w:name="_Toc13177"/>
      <w:r>
        <w:rPr>
          <w:rFonts w:hint="eastAsia" w:ascii="黑体" w:hAnsi="黑体" w:eastAsia="黑体" w:cs="黑体"/>
          <w:b w:val="0"/>
          <w:bCs w:val="0"/>
          <w:lang w:eastAsia="zh-CN"/>
        </w:rPr>
        <w:t>附件1</w:t>
      </w:r>
      <w:bookmarkEnd w:id="699"/>
      <w:bookmarkEnd w:id="700"/>
      <w:bookmarkEnd w:id="701"/>
      <w:bookmarkEnd w:id="702"/>
      <w:bookmarkEnd w:id="703"/>
      <w:bookmarkEnd w:id="704"/>
      <w:bookmarkEnd w:id="705"/>
      <w:bookmarkEnd w:id="706"/>
      <w:bookmarkEnd w:id="707"/>
      <w:bookmarkEnd w:id="708"/>
      <w:bookmarkEnd w:id="709"/>
    </w:p>
    <w:p>
      <w:pPr>
        <w:jc w:val="both"/>
        <w:rPr>
          <w:rFonts w:ascii="黑体" w:hAnsi="黑体" w:eastAsia="黑体"/>
          <w:b/>
          <w:bCs/>
          <w:color w:val="auto"/>
          <w:sz w:val="44"/>
          <w:szCs w:val="44"/>
          <w:lang w:eastAsia="zh-CN"/>
        </w:rPr>
      </w:pP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contextualSpacing/>
        <w:jc w:val="center"/>
        <w:textAlignment w:val="auto"/>
        <w:outlineLvl w:val="0"/>
        <w:rPr>
          <w:rFonts w:hint="eastAsia" w:ascii="方正小标宋_GBK" w:hAnsi="方正小标宋_GBK" w:eastAsia="方正小标宋_GBK" w:cs="方正小标宋_GBK"/>
          <w:b w:val="0"/>
          <w:bCs w:val="0"/>
          <w:color w:val="auto"/>
          <w:sz w:val="44"/>
          <w:szCs w:val="44"/>
          <w:lang w:eastAsia="zh-CN"/>
        </w:rPr>
      </w:pPr>
      <w:bookmarkStart w:id="710" w:name="_Toc29266"/>
      <w:bookmarkStart w:id="711" w:name="_Toc31877"/>
      <w:r>
        <w:rPr>
          <w:rFonts w:hint="eastAsia" w:ascii="方正小标宋_GBK" w:hAnsi="方正小标宋_GBK" w:eastAsia="方正小标宋_GBK" w:cs="方正小标宋_GBK"/>
          <w:b w:val="0"/>
          <w:bCs w:val="0"/>
          <w:color w:val="auto"/>
          <w:sz w:val="44"/>
          <w:szCs w:val="44"/>
          <w:lang w:eastAsia="zh-CN"/>
        </w:rPr>
        <w:t>清城区突发地质灾害应急指挥部成员</w:t>
      </w:r>
      <w:bookmarkEnd w:id="710"/>
      <w:bookmarkEnd w:id="711"/>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contextualSpacing/>
        <w:jc w:val="center"/>
        <w:textAlignment w:val="auto"/>
        <w:outlineLvl w:val="0"/>
        <w:rPr>
          <w:rFonts w:ascii="黑体" w:hAnsi="黑体" w:eastAsia="黑体"/>
          <w:b/>
          <w:bCs/>
          <w:color w:val="auto"/>
          <w:sz w:val="44"/>
          <w:szCs w:val="44"/>
          <w:lang w:eastAsia="zh-CN"/>
        </w:rPr>
      </w:pPr>
      <w:bookmarkStart w:id="712" w:name="_Toc12852"/>
      <w:bookmarkStart w:id="713" w:name="_Toc1778"/>
      <w:r>
        <w:rPr>
          <w:rFonts w:hint="eastAsia" w:ascii="方正小标宋_GBK" w:hAnsi="方正小标宋_GBK" w:eastAsia="方正小标宋_GBK" w:cs="方正小标宋_GBK"/>
          <w:b w:val="0"/>
          <w:bCs w:val="0"/>
          <w:color w:val="auto"/>
          <w:sz w:val="44"/>
          <w:szCs w:val="44"/>
          <w:lang w:eastAsia="zh-CN"/>
        </w:rPr>
        <w:t>单位职责</w:t>
      </w:r>
      <w:bookmarkEnd w:id="712"/>
      <w:bookmarkEnd w:id="713"/>
    </w:p>
    <w:p>
      <w:pPr>
        <w:pStyle w:val="6"/>
        <w:bidi w:val="0"/>
        <w:ind w:left="0" w:leftChars="0" w:firstLine="0" w:firstLineChars="0"/>
        <w:rPr>
          <w:rFonts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各成员单位根据应急响应级别，按照区指挥部的统一部署和各自职责，共同做好突发地质灾害的应急处置工作。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委宣传部：负责参与突发地质灾害应急宣传报道的组织协调工作。适时组织召开新闻发布会，发布重大地质灾害灾情和救灾信息，协调新闻媒体做好抢险救灾宣传报道。参与突发地质灾害应急宣传报道的组织协调工作，指导协调新闻媒体做好抢险救灾宣传报道，及时管控突发敏感网上舆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区委台港澳办：负责参与协调、督促、指导台湾、香港、澳门地区居民及法人、在我区遭遇地质灾害的处理工作，协调、安排台湾、香港、澳门地区来我区救援人员的接待工作。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区发展改革局：负责安排重大抢险救灾基建项目，协调建设资金；组织协调灾区政府及有关部门编制灾后恢复重建总体规划。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教育局：负责危及托幼机构及学校（不含技校，下同）校舍和附属设施安全的地质灾害险情排查、监测和治理工作；灾害发生时幼儿、幼师及在校师生安全管理和组织疏散，妥善解决灾区学生就学问题；开展学生防灾减灾应急知识宣传教育工作；指导灾后校舍恢复重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工业和信息化局：负责保障各级人民政府、有关单位与突发地质灾害发生地之间应急无线电通信业务频率的正常使用，参与指导灾区政府及有关部门编制灾后恢复重建规划。协助区科研力量开展地质灾害预测、预报、预警和应急救援相关科研项目攻关。负责协调灾区生活必需品的市场供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公安局清城分局：负责组织、指挥、协调各级公安机关参与抢险救灾，配合当地人民政府组织疏散、撤离受地质灾害威胁的人员；组织维护灾区社会治安，实施灾区交通疏导，依法打击蓄意扩大化传播地质灾害险情违法犯罪活动，有效预防和妥善处置突发地质灾害引发的群体性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区司法局：负责灾区司法行政系统特殊单位及群体人员的应急安置工作。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人力资源社会保障局：负责组织技工院校开展校园地质灾害风险隐患排查，会同有关部门加强对校园及周边危及校舍及附属设施安全的地质灾害险情进行排查、监测和治理；指导协调灾区技校在校师生安全管理和组织疏散，妥善解决灾区学生就学问题；组织开展学生防灾减灾应急知识宣传教育演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自然资源局清城分局：负责组织开展地质灾害隐患调查、排查；指导地质灾害群测群防、专业监测、预警预报、地质灾害隐患综合治理等工作，组织开展重大地质灾害隐患治理工作；承担地质灾害应急救援的技术支撑工作，负责地质灾害成因分析；参与指导灾区政府及有关部门编制灾后恢复重建规划；协调做好防灾减灾救灾有关用地保障工作；指导各地地质灾害应急抢险治理技术队伍储备库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生态环境局清城分局：负责灾区突发环境事件的排查、监控与环境影响调查，防止发生环境污染次生灾害；负责地质灾害引发次生突发环境事件的环境监测工作；参与指导灾区政府及有关部门编制灾后重建规划和工程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住房城乡建设局：负责组织各街镇开展城乡房屋建筑、公共服务设施和附属设施的险情排查、监测和治理；指导处置灾区房屋建筑、公共服务设施和附属设施的的安全隐患，评估受灾建筑物的损坏程度；指导灾后重建工程建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交通运输局：负责对公路用地范围内的公路沿线和危害交通干线附属设施的地质灾害险情排查、监测和治理工作；及时组织、指挥、协调抢修损毁的交通设施，保障道路畅通；在危险路段设立警示标志；配合做好抢险救灾人员、物资以及撤离人员的紧急运输工作；参与指导灾区政府及有关部门编制灾后重建规划和工程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区水利局：负责组织对水利工程管理范围内的地质灾害险情排查、监测和治理工作；组织水情、汛情监测并对地质灾害损毁水利工程设施进行修复等工作。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highlight w:val="yellow"/>
          <w:lang w:eastAsia="zh-CN"/>
        </w:rPr>
      </w:pPr>
      <w:r>
        <w:rPr>
          <w:rFonts w:hint="eastAsia" w:ascii="仿宋_GB2312" w:hAnsi="仿宋_GB2312" w:eastAsia="仿宋_GB2312" w:cs="仿宋_GB2312"/>
          <w:color w:val="auto"/>
          <w:sz w:val="32"/>
          <w:szCs w:val="32"/>
          <w:lang w:eastAsia="zh-CN"/>
        </w:rPr>
        <w:t>区农业农村局：负责组织灾区动物疫病的预防、控制和扑灭工作，加强动物疫情监测，防止和控制动物疫病爆发流行；及时组织开展灾后农牧业查灾、生产恢复和自救工作；参与指导灾区政府及有关部门编制灾后重建规划和工程建设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文化广电旅游体育局：负责组织对旅游景区内地质灾害隐患的巡查排查、配合有关部门对景区及附属建筑设施安全的地质灾害险情进行监测和治理；统筹指导旅游景区内受地质灾害损毁的旅游基础设施和服务设施的恢复重建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卫生健康局：负责组织医疗卫生机构对周边地质灾害风险隐患的巡查排查，会同有关部门加强对医疗卫生机构及周边危及附属设施安全的地质灾害险情进行监测和治理；组织调度医疗卫生技术力量，开展医疗救护和抢救伤病员工作；加强灾区卫生防疫，做好疾病预防控制和卫生监督等工作，必要时提供医疗技术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应急管理局：负责区指挥部办公室日常工作；负责汇总灾情，制定应急救援行动计划，部署地质灾害专业救援队伍前往灾区开展救援，协调有关救援队伍参与救灾行动，协调志愿者队伍开展应急救援行动，协调有关专家指导应急救援工作；核定、报告和发布灾情信息；组织制订受灾群众安置与救助方案，组织协调相关部门调拨救灾款物，会同有关方面组织协调紧急转移和安置受灾群众相关工作，做好遇难人员善后工作；组织开展地质灾害灾后调查评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区市场监督管理局：负责紧急调配食品、饮用水、药品等救灾物资，保障灾区群众生活必需品的供应，保障灾区市场供应，稳定市场秩序。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新闻信息中心：负责组织对广播电视设施、设备周边地质灾害隐患的巡查排查、监测和治理工作；完善灾区广播电视传输覆盖网，建立完善应急广播电视网络，确保公众能及时、准确地获取政府部门发布的权威地质灾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区政务服务数据管理局：组织协调推进政务数据资源共享和开放，统筹政务数据资源的采集、分类、管理、分析和应用工作，为区指挥部有关决策提供数据分析技术支持。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武警清远支队一大队：组织、指挥所属部队参与抢险救灾工作；协助地方政府维护社会治安和救助受威胁群众。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区消防救援大队：组织、指导区内各级消防队伍参与抢险救灾工作；协助灾区政府疏散和营救危险地区群众。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团区委：组织青年志愿者队伍参与抢险救灾工作。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清城海事处：责协调区内各关区落实救灾人员、物资和装备应急通关手续。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广东电网公司清城供电局：及时组织修复所辖区域受损毁的电网及供电设备，保障所辖灾区应急处置临时供电需求和灾区电力供应。</w:t>
      </w:r>
    </w:p>
    <w:p>
      <w:pPr>
        <w:jc w:val="both"/>
        <w:rPr>
          <w:rFonts w:hint="eastAsia" w:ascii="黑体" w:hAnsi="黑体" w:eastAsia="黑体"/>
          <w:color w:val="auto"/>
          <w:sz w:val="32"/>
          <w:szCs w:val="32"/>
          <w:lang w:eastAsia="zh-CN"/>
        </w:rPr>
      </w:pPr>
    </w:p>
    <w:p>
      <w:pPr>
        <w:pStyle w:val="2"/>
        <w:rPr>
          <w:rFonts w:hint="eastAsia" w:ascii="黑体" w:hAnsi="黑体" w:eastAsia="黑体"/>
          <w:color w:val="auto"/>
          <w:sz w:val="32"/>
          <w:szCs w:val="32"/>
          <w:lang w:eastAsia="zh-CN"/>
        </w:rPr>
      </w:pPr>
    </w:p>
    <w:p>
      <w:pPr>
        <w:pStyle w:val="2"/>
        <w:rPr>
          <w:rFonts w:hint="eastAsia" w:ascii="黑体" w:hAnsi="黑体" w:eastAsia="黑体"/>
          <w:color w:val="auto"/>
          <w:sz w:val="32"/>
          <w:szCs w:val="32"/>
          <w:lang w:eastAsia="zh-CN"/>
        </w:rPr>
      </w:pPr>
    </w:p>
    <w:p>
      <w:pPr>
        <w:pStyle w:val="2"/>
        <w:rPr>
          <w:rFonts w:hint="eastAsia" w:ascii="黑体" w:hAnsi="黑体" w:eastAsia="黑体"/>
          <w:color w:val="auto"/>
          <w:sz w:val="32"/>
          <w:szCs w:val="32"/>
          <w:lang w:eastAsia="zh-CN"/>
        </w:rPr>
      </w:pPr>
    </w:p>
    <w:p>
      <w:pPr>
        <w:pStyle w:val="2"/>
        <w:rPr>
          <w:rFonts w:hint="eastAsia" w:ascii="黑体" w:hAnsi="黑体" w:eastAsia="黑体"/>
          <w:color w:val="auto"/>
          <w:sz w:val="32"/>
          <w:szCs w:val="32"/>
          <w:lang w:eastAsia="zh-CN"/>
        </w:rPr>
      </w:pPr>
    </w:p>
    <w:p>
      <w:pPr>
        <w:pStyle w:val="2"/>
        <w:rPr>
          <w:rFonts w:hint="eastAsia" w:ascii="黑体" w:hAnsi="黑体" w:eastAsia="黑体"/>
          <w:color w:val="auto"/>
          <w:sz w:val="32"/>
          <w:szCs w:val="32"/>
          <w:lang w:eastAsia="zh-CN"/>
        </w:rPr>
      </w:pPr>
    </w:p>
    <w:p>
      <w:pPr>
        <w:pStyle w:val="2"/>
        <w:rPr>
          <w:rFonts w:hint="eastAsia" w:ascii="黑体" w:hAnsi="黑体" w:eastAsia="黑体"/>
          <w:color w:val="auto"/>
          <w:sz w:val="32"/>
          <w:szCs w:val="32"/>
          <w:lang w:eastAsia="zh-CN"/>
        </w:rPr>
      </w:pPr>
    </w:p>
    <w:p>
      <w:pPr>
        <w:pStyle w:val="2"/>
        <w:rPr>
          <w:rFonts w:hint="eastAsia" w:ascii="黑体" w:hAnsi="黑体" w:eastAsia="黑体"/>
          <w:color w:val="auto"/>
          <w:sz w:val="32"/>
          <w:szCs w:val="32"/>
          <w:lang w:eastAsia="zh-CN"/>
        </w:rPr>
      </w:pPr>
    </w:p>
    <w:p>
      <w:pPr>
        <w:pStyle w:val="2"/>
        <w:rPr>
          <w:rFonts w:hint="eastAsia" w:ascii="黑体" w:hAnsi="黑体" w:eastAsia="黑体"/>
          <w:color w:val="auto"/>
          <w:sz w:val="32"/>
          <w:szCs w:val="32"/>
          <w:lang w:eastAsia="zh-CN"/>
        </w:rPr>
      </w:pPr>
    </w:p>
    <w:p>
      <w:pPr>
        <w:pStyle w:val="4"/>
        <w:bidi w:val="0"/>
        <w:ind w:left="0" w:leftChars="0" w:firstLine="0" w:firstLineChars="0"/>
        <w:outlineLvl w:val="0"/>
        <w:rPr>
          <w:rFonts w:hint="eastAsia" w:ascii="黑体" w:hAnsi="黑体" w:eastAsia="黑体" w:cs="黑体"/>
          <w:b w:val="0"/>
          <w:bCs w:val="0"/>
          <w:lang w:eastAsia="zh-CN"/>
        </w:rPr>
      </w:pPr>
      <w:bookmarkStart w:id="714" w:name="_Toc16374"/>
      <w:bookmarkStart w:id="715" w:name="_Toc5620"/>
      <w:bookmarkStart w:id="716" w:name="_Toc15254"/>
      <w:bookmarkStart w:id="717" w:name="_Toc26172"/>
      <w:bookmarkStart w:id="718" w:name="_Toc15696"/>
      <w:bookmarkStart w:id="719" w:name="_Toc10936"/>
      <w:bookmarkStart w:id="720" w:name="_Toc29650"/>
      <w:bookmarkStart w:id="721" w:name="_Toc1539"/>
      <w:bookmarkStart w:id="722" w:name="_Toc27080"/>
      <w:bookmarkStart w:id="723" w:name="_Toc23016"/>
      <w:bookmarkStart w:id="724" w:name="_Toc15194"/>
      <w:r>
        <w:rPr>
          <w:rFonts w:hint="eastAsia" w:ascii="黑体" w:hAnsi="黑体" w:eastAsia="黑体" w:cs="黑体"/>
          <w:b w:val="0"/>
          <w:bCs w:val="0"/>
          <w:lang w:eastAsia="zh-CN"/>
        </w:rPr>
        <w:t>附件</w:t>
      </w:r>
      <w:r>
        <w:rPr>
          <w:rFonts w:hint="eastAsia" w:ascii="黑体" w:hAnsi="黑体" w:eastAsia="黑体" w:cs="黑体"/>
          <w:b w:val="0"/>
          <w:bCs w:val="0"/>
          <w:lang w:val="en-US" w:eastAsia="zh-CN"/>
        </w:rPr>
        <w:t>2</w:t>
      </w:r>
      <w:bookmarkEnd w:id="714"/>
      <w:bookmarkEnd w:id="715"/>
      <w:bookmarkEnd w:id="716"/>
      <w:bookmarkEnd w:id="717"/>
      <w:bookmarkEnd w:id="718"/>
    </w:p>
    <w:p>
      <w:pPr>
        <w:jc w:val="both"/>
        <w:rPr>
          <w:rFonts w:ascii="黑体" w:hAnsi="黑体" w:eastAsia="黑体"/>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eastAsia="zh-CN"/>
        </w:rPr>
        <w:t>清城区突发地质灾害应急指挥部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eastAsia="zh-CN"/>
        </w:rPr>
        <w:t>工作组及职责</w:t>
      </w:r>
    </w:p>
    <w:bookmarkEnd w:id="719"/>
    <w:bookmarkEnd w:id="720"/>
    <w:bookmarkEnd w:id="721"/>
    <w:bookmarkEnd w:id="722"/>
    <w:bookmarkEnd w:id="723"/>
    <w:bookmarkEnd w:id="724"/>
    <w:p>
      <w:pPr>
        <w:ind w:firstLine="640" w:firstLineChars="200"/>
        <w:jc w:val="both"/>
        <w:rPr>
          <w:rFonts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区指挥部根据需要设立综合信息组、抢险救援组、群众安置与物资保障组、地质灾害监测和防控组、卫生防疫组、社会治安组、基础设施保障组、交通运输组、灾情损失评估组、舆情应对与宣传组、涉外及涉港澳台工作组、恢复重建组，设立区专家组，各工作组在区指挥部统一指挥下开展工作。必要时，区指挥部可在险情灾情现场设立现场指挥部，现场指挥部的组织架构可参照上述分组进行组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1.综合信息组</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由区应急管理局牵头，市自然资源局清城分局、区住房和城乡建设局、区政务服务数据管理局、区消防救援大队等单位参加。在区指挥部的统一部署指挥下，充分运用大数据等信息化手段分析灾害的影响程度并提供市指挥部作为决策参考；汇总、上报险情、灾情和应急处置情况。承担区指挥部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2.抢险救援组</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由区应急管理局牵头，武警部队和消防救援队伍、地方综合应急救援和民间救援参加。在区指挥部的统一部署指挥下，组织指导开展搜索营救被困群众和受伤人员，发动基层干部群众开展自救互救，清理灾区现场，组织救援人员和物资的空运、空投工作，全力保障应急救援现场与市指挥部的通信畅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3.群众安置和物资保障组</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由区应急管理局牵头，区发展改革局、区教育局、区人力资源社会保障局、区财政局、区文化广电旅游体育局、区市场监督管理局等单位参加。在区指挥部的统一部署指挥下，组织指导制订受灾群众救助工作方案以及相应的应急物资和资金保障方案，指导有关地区做好因灾倒塌房屋群众的紧急安置，保障灾区群众基本生活，保障灾区市场供应，协调办理接收国家、外省、市（区）以及国际捐赠和救助有关事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4.地质灾害监测和防控组</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由市自然资源局清城分局牵头，市生态环境局清城分局、区水利局等单位参加。在区指挥部的统一部署指挥下，指导开展地质灾害监测和次生灾害防范，调集必要的技术力量和设备，密切监测险情灾情发展，做好地质灾害预警预报工作，及时指导当地政府组织疏散受灾害威胁群众；及时向区指挥部办公室报送灾害监测信息；加强江河水质监测和污染防控，保障重大、重点监测设施运行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5.卫生防疫组</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由区卫生健康局牵头，区农业农村局、区市场监督管理局、团区委等单位参加。在区指挥部的统一部署指挥下，组织做好医疗救助和卫生防疫，组织医疗救护队伍，调集医疗器械、药品，对受伤人员进行救治；防范和控制各种传染病等疫病的暴发流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6.社会治安组</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由市公安局清城分局牵头，区司法局、武警部队等单位参加。在区指挥部的统一部署指挥下，负责组织指导灾区加强治安管理和安全保卫工作，预防和打击各种违法犯罪活动，维护社会治安，维护道路交通秩序，加强对党政机关、要害部门、金融单位、物资储备仓库等重要场所的警戒，切实维护社会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7.基础设施保障组</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由区发展改革局牵头，区工业和信息化局、区住房城乡建设局、区交通运输局、区水利局、广东电网公司清城供电局等单位参加。在区指挥部的统一部署指挥下，负责组织铁路、公路、桥梁、隧道等交通设施以及供电、供水、供气、通信等基础设施的抢修和维护；组织调集抢险救援装备，保障灾区抢险救灾应急物资供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8.交通运输组</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由区交通运输局牵头，市公安局清城分局、清城海事处等单位参加。在区指挥部的统一部署指挥下，协调运力，组织疏导交通，优先保障应急抢险救援人员和救灾物资的运输需要。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9.灾情损失评估组</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由区应急管理局牵头，市自然资源局清城分局、区住房城乡建设局、市生态环境局清城分局、区农业农村局等单位参加。在区指挥部的统一部署指挥下，负责组织开展地质灾害损失评估，调查灾区范围、受灾人口、人员伤亡情况、基础设施破坏程度、地质灾害的社会影响程度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10.舆情应对与宣传组</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由区委宣传部牵头，区应急管理局、市公安局清城分局、市自然资源局清城分局、区新闻信息中心等单位参加。在区指挥部的统一部署指挥下，组织召开新闻发布会，发布地质灾害灾情和抢险救灾信息；组织新闻媒体做好抢险救灾宣传报道；及时平息地质灾害灾情险情的谣传、误传，做好舆情监控和引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11.涉外及涉港澳台工作组</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由市公安局清城分局牵头，区委台港澳办、清城海事处等单位参加。在区指挥部的统一部署指挥下，负责协调、督促、指导外国和港澳台地区居民及法人在我区遭遇地质灾害的处理工作，协调、安排外宾、港澳台地区和境外来粤救援人员的接待工作；负责协调落实境外人员参与抢险救灾人员和物资装备的通关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12.恢复重建组</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由区发展改革局牵头，区工业和信息化局、区财政局、区交通运输局、市自然资源局清城分局、市生态环境局清城分局、区住房城乡建设局、区农业农村局等单位参加。在区指挥部的统一部署指挥下，指导灾区人民政府编制灾后恢复重建规划，协调灾区恢复重建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13.</w:t>
      </w:r>
      <w:r>
        <w:rPr>
          <w:rFonts w:hint="eastAsia" w:ascii="仿宋_GB2312" w:hAnsi="仿宋_GB2312" w:eastAsia="仿宋_GB2312" w:cs="仿宋_GB2312"/>
          <w:b/>
          <w:bCs/>
          <w:color w:val="auto"/>
          <w:sz w:val="32"/>
          <w:szCs w:val="32"/>
          <w:lang w:val="en-US" w:eastAsia="zh-CN"/>
        </w:rPr>
        <w:t>区</w:t>
      </w:r>
      <w:r>
        <w:rPr>
          <w:rFonts w:hint="eastAsia" w:ascii="仿宋_GB2312" w:hAnsi="仿宋_GB2312" w:eastAsia="仿宋_GB2312" w:cs="仿宋_GB2312"/>
          <w:b/>
          <w:bCs/>
          <w:color w:val="auto"/>
          <w:sz w:val="32"/>
          <w:szCs w:val="32"/>
          <w:lang w:eastAsia="zh-CN"/>
        </w:rPr>
        <w:t>专家组</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区指挥部根据灾情险情需要，从区应急管理专家库中抽调有关专家，组成区专家组，指导开展灾情险情评估，分析地质灾害变化趋势，并提出抢险救灾措施建议，为地质灾害应急救援处置工作提供技术支撑。</w:t>
      </w:r>
    </w:p>
    <w:p>
      <w:pPr>
        <w:pageBreakBefore w:val="0"/>
        <w:widowControl w:val="0"/>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b w:val="0"/>
          <w:bCs/>
          <w:color w:val="auto"/>
          <w:sz w:val="32"/>
          <w:szCs w:val="32"/>
          <w:lang w:eastAsia="zh-CN"/>
        </w:rPr>
      </w:pPr>
      <w:r>
        <w:rPr>
          <w:rFonts w:hint="eastAsia" w:ascii="仿宋_GB2312" w:hAnsi="仿宋_GB2312" w:eastAsia="仿宋_GB2312" w:cs="仿宋_GB2312"/>
          <w:color w:val="auto"/>
          <w:sz w:val="32"/>
          <w:szCs w:val="32"/>
          <w:lang w:eastAsia="zh-CN"/>
        </w:rPr>
        <w:br w:type="page"/>
      </w:r>
      <w:bookmarkStart w:id="725" w:name="_Toc31027"/>
      <w:bookmarkStart w:id="726" w:name="_Toc7580"/>
      <w:bookmarkStart w:id="727" w:name="_Toc17769"/>
      <w:bookmarkStart w:id="728" w:name="_Toc28572"/>
      <w:bookmarkStart w:id="729" w:name="_Toc21381"/>
      <w:bookmarkStart w:id="730" w:name="_Toc1037"/>
      <w:bookmarkStart w:id="731" w:name="_Toc1376"/>
      <w:bookmarkStart w:id="732" w:name="_Toc8721"/>
      <w:bookmarkStart w:id="733" w:name="_Toc3778"/>
      <w:bookmarkStart w:id="734" w:name="_Toc3956"/>
      <w:bookmarkStart w:id="735" w:name="_Toc1702"/>
      <w:r>
        <w:rPr>
          <w:rStyle w:val="28"/>
          <w:rFonts w:hint="eastAsia" w:ascii="黑体" w:hAnsi="黑体" w:eastAsia="黑体" w:cs="黑体"/>
          <w:b w:val="0"/>
          <w:bCs/>
          <w:lang w:eastAsia="zh-CN"/>
        </w:rPr>
        <w:t>附件3</w:t>
      </w:r>
      <w:bookmarkEnd w:id="725"/>
      <w:bookmarkEnd w:id="726"/>
      <w:bookmarkEnd w:id="727"/>
      <w:bookmarkEnd w:id="728"/>
      <w:bookmarkEnd w:id="729"/>
      <w:bookmarkEnd w:id="730"/>
      <w:bookmarkEnd w:id="731"/>
      <w:bookmarkEnd w:id="732"/>
      <w:bookmarkEnd w:id="733"/>
      <w:bookmarkEnd w:id="734"/>
      <w:bookmarkEnd w:id="735"/>
    </w:p>
    <w:p>
      <w:pPr>
        <w:jc w:val="both"/>
        <w:rPr>
          <w:rFonts w:ascii="黑体" w:hAnsi="黑体" w:eastAsia="黑体"/>
          <w:color w:val="auto"/>
          <w:sz w:val="32"/>
          <w:szCs w:val="32"/>
          <w:lang w:eastAsia="zh-CN"/>
        </w:rPr>
      </w:pPr>
    </w:p>
    <w:p>
      <w:pPr>
        <w:jc w:val="center"/>
        <w:outlineLvl w:val="0"/>
        <w:rPr>
          <w:rFonts w:hint="eastAsia" w:ascii="方正小标宋_GBK" w:hAnsi="方正小标宋_GBK" w:eastAsia="方正小标宋_GBK" w:cs="方正小标宋_GBK"/>
          <w:b w:val="0"/>
          <w:bCs w:val="0"/>
          <w:color w:val="auto"/>
          <w:sz w:val="44"/>
          <w:szCs w:val="44"/>
          <w:lang w:eastAsia="zh-CN"/>
        </w:rPr>
      </w:pPr>
      <w:bookmarkStart w:id="736" w:name="_Toc9212"/>
      <w:bookmarkStart w:id="737" w:name="_Toc5470"/>
      <w:bookmarkStart w:id="738" w:name="_Toc30000"/>
      <w:bookmarkStart w:id="739" w:name="_Toc29373"/>
      <w:bookmarkStart w:id="740" w:name="_Toc32254"/>
      <w:bookmarkStart w:id="741" w:name="_Toc7538"/>
      <w:bookmarkStart w:id="742" w:name="_Toc15290"/>
      <w:bookmarkStart w:id="743" w:name="_Toc6433"/>
      <w:bookmarkStart w:id="744" w:name="_Toc4111"/>
      <w:bookmarkStart w:id="745" w:name="_Toc12408"/>
      <w:bookmarkStart w:id="746" w:name="_Toc9107"/>
      <w:bookmarkStart w:id="747" w:name="_Toc24919"/>
      <w:r>
        <w:rPr>
          <w:rFonts w:hint="eastAsia" w:ascii="方正小标宋_GBK" w:hAnsi="方正小标宋_GBK" w:eastAsia="方正小标宋_GBK" w:cs="方正小标宋_GBK"/>
          <w:b w:val="0"/>
          <w:bCs w:val="0"/>
          <w:color w:val="auto"/>
          <w:sz w:val="44"/>
          <w:szCs w:val="44"/>
          <w:lang w:eastAsia="zh-CN"/>
        </w:rPr>
        <w:t>地质灾害分级标准</w:t>
      </w:r>
      <w:bookmarkEnd w:id="736"/>
      <w:bookmarkEnd w:id="737"/>
      <w:bookmarkEnd w:id="738"/>
      <w:bookmarkEnd w:id="739"/>
      <w:bookmarkEnd w:id="740"/>
      <w:bookmarkEnd w:id="741"/>
      <w:bookmarkEnd w:id="742"/>
      <w:bookmarkEnd w:id="743"/>
      <w:bookmarkEnd w:id="744"/>
      <w:bookmarkEnd w:id="745"/>
      <w:bookmarkEnd w:id="746"/>
      <w:bookmarkEnd w:id="747"/>
    </w:p>
    <w:p>
      <w:pPr>
        <w:ind w:firstLine="640" w:firstLineChars="200"/>
        <w:jc w:val="both"/>
        <w:rPr>
          <w:rFonts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bookmarkStart w:id="748" w:name="_Toc7315"/>
      <w:bookmarkStart w:id="749" w:name="_Toc32465"/>
      <w:bookmarkStart w:id="750" w:name="_Toc27763"/>
      <w:bookmarkStart w:id="751" w:name="_Toc528"/>
      <w:bookmarkStart w:id="752" w:name="_Toc15895"/>
      <w:bookmarkStart w:id="753" w:name="_Toc19456"/>
      <w:bookmarkStart w:id="754" w:name="_Toc1361"/>
      <w:bookmarkStart w:id="755" w:name="_Toc14676"/>
      <w:bookmarkStart w:id="756" w:name="_Toc11261"/>
      <w:bookmarkStart w:id="757" w:name="_Toc17505"/>
      <w:r>
        <w:rPr>
          <w:rFonts w:hint="eastAsia" w:ascii="仿宋_GB2312" w:hAnsi="仿宋_GB2312" w:eastAsia="仿宋_GB2312" w:cs="仿宋_GB2312"/>
          <w:b/>
          <w:bCs/>
          <w:color w:val="auto"/>
          <w:sz w:val="32"/>
          <w:szCs w:val="32"/>
          <w:lang w:eastAsia="zh-CN"/>
        </w:rPr>
        <w:t>1.特别重大地质灾害（Ⅰ级）</w:t>
      </w:r>
      <w:bookmarkEnd w:id="748"/>
      <w:bookmarkEnd w:id="749"/>
      <w:bookmarkEnd w:id="750"/>
      <w:bookmarkEnd w:id="751"/>
      <w:bookmarkEnd w:id="752"/>
      <w:bookmarkEnd w:id="753"/>
      <w:bookmarkEnd w:id="754"/>
      <w:bookmarkEnd w:id="755"/>
      <w:bookmarkEnd w:id="756"/>
      <w:bookmarkEnd w:id="75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（1）因山体崩塌、滑坡、泥石流、地面塌陷等灾害造成30人以上死亡，或直接经济损失1000万元以上的突发地质灾害。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（2）受突发地质灾害威胁，需转移人数在500人以上，或可能造成的经济损失在3000万元以上的灾害险情。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（3）造成铁路繁忙干线、国家高速公路网线路、民航和航道长时间中断，或特别严重威胁群众生命财产安全、有特别严重社会影响的突发地质灾害。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（4）因突发地质灾害造成大江大河干流或支流被阻断，对群众生命财产安全造成特别重大影响。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bookmarkStart w:id="758" w:name="_Toc30173"/>
      <w:bookmarkStart w:id="759" w:name="_Toc11035"/>
      <w:bookmarkStart w:id="760" w:name="_Toc7339"/>
      <w:bookmarkStart w:id="761" w:name="_Toc10294"/>
      <w:bookmarkStart w:id="762" w:name="_Toc6335"/>
      <w:bookmarkStart w:id="763" w:name="_Toc31003"/>
      <w:bookmarkStart w:id="764" w:name="_Toc17988"/>
      <w:bookmarkStart w:id="765" w:name="_Toc544"/>
      <w:bookmarkStart w:id="766" w:name="_Toc2399"/>
      <w:bookmarkStart w:id="767" w:name="_Toc1079"/>
      <w:r>
        <w:rPr>
          <w:rFonts w:hint="eastAsia" w:ascii="仿宋_GB2312" w:hAnsi="仿宋_GB2312" w:eastAsia="仿宋_GB2312" w:cs="仿宋_GB2312"/>
          <w:b/>
          <w:bCs/>
          <w:color w:val="auto"/>
          <w:sz w:val="32"/>
          <w:szCs w:val="32"/>
          <w:lang w:eastAsia="zh-CN"/>
        </w:rPr>
        <w:t>2.重大地质灾害（Ⅱ级）</w:t>
      </w:r>
      <w:bookmarkEnd w:id="758"/>
      <w:bookmarkEnd w:id="759"/>
      <w:bookmarkEnd w:id="760"/>
      <w:bookmarkEnd w:id="761"/>
      <w:bookmarkEnd w:id="762"/>
      <w:bookmarkEnd w:id="763"/>
      <w:bookmarkEnd w:id="764"/>
      <w:bookmarkEnd w:id="765"/>
      <w:bookmarkEnd w:id="766"/>
      <w:bookmarkEnd w:id="76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（1）因山体崩塌、滑坡、泥石流、地面塌陷等灾害造成10人以上、30人以下死亡，或直接经济损失500万元以上、1000万元以下的突发地质灾害。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（2）受突发地质灾害威胁，需转移人数在200人以上、500人以下，或可能造成经济损失1000万元以上、3000万元以下的灾害险情。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（3）造成铁路繁忙干线、国家高速公路网线路、民航和航道较长时间中断，或严重威胁群众生命财产安全、有严重社会影响的突发地质灾害。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（4）因突发地质灾害造成大江大河支流被阻断，对群众生命财产安全造成重大影响。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bookmarkStart w:id="768" w:name="_Toc27008"/>
      <w:bookmarkStart w:id="769" w:name="_Toc14214"/>
      <w:bookmarkStart w:id="770" w:name="_Toc14195"/>
      <w:bookmarkStart w:id="771" w:name="_Toc117"/>
      <w:bookmarkStart w:id="772" w:name="_Toc7249"/>
      <w:bookmarkStart w:id="773" w:name="_Toc21895"/>
      <w:bookmarkStart w:id="774" w:name="_Toc5178"/>
      <w:bookmarkStart w:id="775" w:name="_Toc21243"/>
      <w:bookmarkStart w:id="776" w:name="_Toc21699"/>
      <w:bookmarkStart w:id="777" w:name="_Toc12036"/>
      <w:r>
        <w:rPr>
          <w:rFonts w:hint="eastAsia" w:ascii="仿宋_GB2312" w:hAnsi="仿宋_GB2312" w:eastAsia="仿宋_GB2312" w:cs="仿宋_GB2312"/>
          <w:b/>
          <w:bCs/>
          <w:color w:val="auto"/>
          <w:sz w:val="32"/>
          <w:szCs w:val="32"/>
          <w:lang w:val="en-US" w:eastAsia="zh-CN"/>
        </w:rPr>
        <w:t>3.较大地质灾害（Ⅲ级）</w:t>
      </w:r>
      <w:bookmarkEnd w:id="768"/>
      <w:bookmarkEnd w:id="769"/>
      <w:bookmarkEnd w:id="770"/>
      <w:bookmarkEnd w:id="771"/>
      <w:bookmarkEnd w:id="772"/>
      <w:bookmarkEnd w:id="773"/>
      <w:bookmarkEnd w:id="774"/>
      <w:bookmarkEnd w:id="775"/>
      <w:bookmarkEnd w:id="776"/>
      <w:bookmarkEnd w:id="77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（1）因山体崩塌、滑坡、泥石流、地面塌陷等灾害造成3人以上、10人以下死亡，或直接经济损失100万元以上、500万元以下的突发地质灾害。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（2）受突发地质灾害威胁，需转移人数在50人以上、200人以下，或可能造成经济损失300万元以上、1000万元以下的灾害险情。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（3）造成铁路繁忙干线、国家高速公路网线路、民航和航道短时中断，或较严重威胁群众生命财产安全、有较大社会影响的突发地质灾害。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bookmarkStart w:id="778" w:name="_Toc10076"/>
      <w:bookmarkStart w:id="779" w:name="_Toc2699"/>
      <w:bookmarkStart w:id="780" w:name="_Toc1692"/>
      <w:bookmarkStart w:id="781" w:name="_Toc26342"/>
      <w:bookmarkStart w:id="782" w:name="_Toc25117"/>
      <w:bookmarkStart w:id="783" w:name="_Toc29074"/>
      <w:bookmarkStart w:id="784" w:name="_Toc16184"/>
      <w:bookmarkStart w:id="785" w:name="_Toc10380"/>
      <w:bookmarkStart w:id="786" w:name="_Toc6550"/>
      <w:bookmarkStart w:id="787" w:name="_Toc9322"/>
      <w:r>
        <w:rPr>
          <w:rFonts w:hint="eastAsia" w:ascii="仿宋_GB2312" w:hAnsi="仿宋_GB2312" w:eastAsia="仿宋_GB2312" w:cs="仿宋_GB2312"/>
          <w:b/>
          <w:bCs/>
          <w:color w:val="auto"/>
          <w:sz w:val="32"/>
          <w:szCs w:val="32"/>
          <w:lang w:val="en-US" w:eastAsia="zh-CN"/>
        </w:rPr>
        <w:t>4.一般地质灾害（Ⅳ级）</w:t>
      </w:r>
      <w:bookmarkEnd w:id="778"/>
      <w:bookmarkEnd w:id="779"/>
      <w:bookmarkEnd w:id="780"/>
      <w:bookmarkEnd w:id="781"/>
      <w:bookmarkEnd w:id="782"/>
      <w:bookmarkEnd w:id="783"/>
      <w:bookmarkEnd w:id="784"/>
      <w:bookmarkEnd w:id="785"/>
      <w:bookmarkEnd w:id="786"/>
      <w:bookmarkEnd w:id="78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（1）因山体崩塌、滑坡、泥石流、地面塌陷等灾害造成3人以下死亡，或直接经济损失100万元以下的突发地质灾害。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（2）受突发地质灾害威胁，需转移人数在50人以下，或可能造成的经济损失300万元以下的灾害险情。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（3）造成交通运输中断，或威胁群众生命财产安全、有一定社会影响的突发地质灾害。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（国家或广东省对地质灾害分级标准另有规定的，从其规定）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pStyle w:val="4"/>
        <w:bidi w:val="0"/>
        <w:ind w:left="0" w:leftChars="0" w:firstLine="0" w:firstLineChars="0"/>
        <w:jc w:val="both"/>
        <w:outlineLvl w:val="0"/>
        <w:rPr>
          <w:rFonts w:hint="eastAsia" w:ascii="黑体" w:hAnsi="黑体" w:eastAsia="黑体" w:cs="黑体"/>
          <w:b w:val="0"/>
          <w:bCs w:val="0"/>
          <w:lang w:val="en-US" w:eastAsia="zh-CN"/>
        </w:rPr>
      </w:pPr>
      <w:bookmarkStart w:id="788" w:name="_Toc17072"/>
      <w:bookmarkStart w:id="789" w:name="_Toc15571"/>
      <w:bookmarkStart w:id="790" w:name="_Toc1139"/>
      <w:bookmarkStart w:id="791" w:name="_Toc20835"/>
      <w:bookmarkStart w:id="792" w:name="_Toc12132"/>
      <w:bookmarkStart w:id="793" w:name="_Toc9855"/>
      <w:bookmarkStart w:id="794" w:name="_Toc9216"/>
      <w:bookmarkStart w:id="795" w:name="_Toc8248"/>
      <w:bookmarkStart w:id="796" w:name="_Toc30687"/>
      <w:r>
        <w:rPr>
          <w:rFonts w:hint="eastAsia" w:ascii="黑体" w:hAnsi="黑体" w:eastAsia="黑体" w:cs="黑体"/>
          <w:b w:val="0"/>
          <w:bCs w:val="0"/>
          <w:lang w:val="en-US" w:eastAsia="zh-CN"/>
        </w:rPr>
        <w:t>附件4</w:t>
      </w:r>
      <w:bookmarkEnd w:id="788"/>
      <w:bookmarkEnd w:id="789"/>
      <w:r>
        <w:rPr>
          <w:rFonts w:hint="eastAsia" w:ascii="黑体" w:hAnsi="黑体" w:eastAsia="黑体" w:cs="黑体"/>
          <w:b w:val="0"/>
          <w:bCs w:val="0"/>
          <w:lang w:val="en-US" w:eastAsia="zh-CN"/>
        </w:rPr>
        <w:t xml:space="preserve"> </w:t>
      </w:r>
    </w:p>
    <w:p>
      <w:pPr>
        <w:pStyle w:val="4"/>
        <w:bidi w:val="0"/>
        <w:ind w:left="0" w:leftChars="0" w:firstLine="0" w:firstLineChars="0"/>
        <w:jc w:val="center"/>
        <w:outlineLvl w:val="0"/>
        <w:rPr>
          <w:rFonts w:hint="eastAsia"/>
          <w:lang w:val="en-US" w:eastAsia="zh-CN"/>
        </w:rPr>
      </w:pPr>
      <w:bookmarkStart w:id="797" w:name="_Toc21500"/>
      <w:bookmarkStart w:id="798" w:name="_Toc5880"/>
      <w:r>
        <w:rPr>
          <w:rFonts w:hint="eastAsia" w:ascii="方正小标宋_GBK" w:hAnsi="方正小标宋_GBK" w:eastAsia="方正小标宋_GBK" w:cs="方正小标宋_GBK"/>
          <w:b w:val="0"/>
          <w:bCs w:val="0"/>
          <w:sz w:val="44"/>
          <w:szCs w:val="44"/>
          <w:lang w:val="en-US" w:eastAsia="zh-CN"/>
        </w:rPr>
        <w:t>地质灾害分布图</w:t>
      </w:r>
      <w:bookmarkEnd w:id="790"/>
      <w:bookmarkEnd w:id="791"/>
      <w:bookmarkEnd w:id="792"/>
      <w:bookmarkEnd w:id="793"/>
      <w:bookmarkEnd w:id="794"/>
      <w:bookmarkEnd w:id="795"/>
      <w:bookmarkEnd w:id="796"/>
      <w:bookmarkEnd w:id="797"/>
      <w:bookmarkEnd w:id="798"/>
    </w:p>
    <w:p>
      <w:pPr>
        <w:rPr>
          <w:rFonts w:ascii="仿宋_GB2312" w:hAnsi="仿宋_GB2312" w:eastAsia="仿宋_GB2312" w:cs="仿宋_GB2312"/>
          <w:sz w:val="32"/>
          <w:szCs w:val="32"/>
          <w:lang w:eastAsia="zh-CN"/>
        </w:rPr>
      </w:pPr>
      <w:r>
        <w:rPr>
          <w:rFonts w:ascii="仿宋_GB2312" w:hAnsi="仿宋_GB2312" w:eastAsia="仿宋_GB2312" w:cs="仿宋_GB2312"/>
          <w:sz w:val="32"/>
          <w:szCs w:val="32"/>
          <w:lang w:eastAsia="zh-CN"/>
        </w:rPr>
        <w:drawing>
          <wp:inline distT="0" distB="0" distL="114300" distR="114300">
            <wp:extent cx="5668010" cy="5497195"/>
            <wp:effectExtent l="0" t="0" r="8890" b="8255"/>
            <wp:docPr id="3" name="图片 3" descr="清远市地质灾害分布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清远市地质灾害分布图"/>
                    <pic:cNvPicPr>
                      <a:picLocks noChangeAspect="1"/>
                    </pic:cNvPicPr>
                  </pic:nvPicPr>
                  <pic:blipFill>
                    <a:blip r:embed="rId7"/>
                    <a:srcRect l="4666" r="6631"/>
                    <a:stretch>
                      <a:fillRect/>
                    </a:stretch>
                  </pic:blipFill>
                  <pic:spPr>
                    <a:xfrm>
                      <a:off x="0" y="0"/>
                      <a:ext cx="5668010" cy="5497195"/>
                    </a:xfrm>
                    <a:prstGeom prst="rect">
                      <a:avLst/>
                    </a:prstGeom>
                  </pic:spPr>
                </pic:pic>
              </a:graphicData>
            </a:graphic>
          </wp:inline>
        </w:drawing>
      </w:r>
    </w:p>
    <w:p>
      <w:pPr>
        <w:rPr>
          <w:lang w:eastAsia="zh-CN"/>
        </w:rPr>
      </w:pPr>
    </w:p>
    <w:sectPr>
      <w:footerReference r:id="rId5"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2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zY2JlODRmZWZiNTU3ODhkZTE3MzlkOTk3NjQ1M2EifQ=="/>
  </w:docVars>
  <w:rsids>
    <w:rsidRoot w:val="54AF2073"/>
    <w:rsid w:val="002846E7"/>
    <w:rsid w:val="00643627"/>
    <w:rsid w:val="00873C52"/>
    <w:rsid w:val="00B10F50"/>
    <w:rsid w:val="00C84172"/>
    <w:rsid w:val="00DF357D"/>
    <w:rsid w:val="00EE0235"/>
    <w:rsid w:val="00F26D1E"/>
    <w:rsid w:val="031E77C0"/>
    <w:rsid w:val="03973BD1"/>
    <w:rsid w:val="03A561BC"/>
    <w:rsid w:val="03B50C3C"/>
    <w:rsid w:val="05B7462C"/>
    <w:rsid w:val="082F18F4"/>
    <w:rsid w:val="096549DF"/>
    <w:rsid w:val="09A6551A"/>
    <w:rsid w:val="0A1E71F4"/>
    <w:rsid w:val="0AB05325"/>
    <w:rsid w:val="0C694752"/>
    <w:rsid w:val="0D0711C9"/>
    <w:rsid w:val="0D292A6A"/>
    <w:rsid w:val="0E54288B"/>
    <w:rsid w:val="0E81319E"/>
    <w:rsid w:val="0F001F14"/>
    <w:rsid w:val="0FD10B9B"/>
    <w:rsid w:val="10156375"/>
    <w:rsid w:val="11886788"/>
    <w:rsid w:val="12FF1DF4"/>
    <w:rsid w:val="1710291A"/>
    <w:rsid w:val="185E3D95"/>
    <w:rsid w:val="19CE1BAB"/>
    <w:rsid w:val="1B3A7070"/>
    <w:rsid w:val="1B890844"/>
    <w:rsid w:val="1B901EE4"/>
    <w:rsid w:val="1F407B07"/>
    <w:rsid w:val="21E66F69"/>
    <w:rsid w:val="25996CCE"/>
    <w:rsid w:val="2DA336ED"/>
    <w:rsid w:val="2E3D1AE2"/>
    <w:rsid w:val="330C763F"/>
    <w:rsid w:val="35F13E44"/>
    <w:rsid w:val="35F45D7C"/>
    <w:rsid w:val="38A171F9"/>
    <w:rsid w:val="3A8B09B0"/>
    <w:rsid w:val="3BEE1FD4"/>
    <w:rsid w:val="3C710B23"/>
    <w:rsid w:val="3EB558FA"/>
    <w:rsid w:val="3F5C2CA9"/>
    <w:rsid w:val="427B013A"/>
    <w:rsid w:val="46767FF2"/>
    <w:rsid w:val="46DC7413"/>
    <w:rsid w:val="48AD6890"/>
    <w:rsid w:val="49895DED"/>
    <w:rsid w:val="4B491944"/>
    <w:rsid w:val="4E437F61"/>
    <w:rsid w:val="4EFC4867"/>
    <w:rsid w:val="50FBA27B"/>
    <w:rsid w:val="52433EBD"/>
    <w:rsid w:val="52B14B11"/>
    <w:rsid w:val="54AF2073"/>
    <w:rsid w:val="5621070A"/>
    <w:rsid w:val="574F3E1A"/>
    <w:rsid w:val="57C84CF5"/>
    <w:rsid w:val="5A663180"/>
    <w:rsid w:val="5F0E70E8"/>
    <w:rsid w:val="5F987C43"/>
    <w:rsid w:val="608B796E"/>
    <w:rsid w:val="628A69CE"/>
    <w:rsid w:val="65AF20E6"/>
    <w:rsid w:val="6687207B"/>
    <w:rsid w:val="690D4B93"/>
    <w:rsid w:val="69234946"/>
    <w:rsid w:val="6A6146F8"/>
    <w:rsid w:val="6BF84629"/>
    <w:rsid w:val="6E306E53"/>
    <w:rsid w:val="6EF779BF"/>
    <w:rsid w:val="71064A73"/>
    <w:rsid w:val="710F21B8"/>
    <w:rsid w:val="71D13952"/>
    <w:rsid w:val="71DC47E1"/>
    <w:rsid w:val="725A5596"/>
    <w:rsid w:val="727A5C59"/>
    <w:rsid w:val="737F2DB7"/>
    <w:rsid w:val="753B6D8C"/>
    <w:rsid w:val="76D32891"/>
    <w:rsid w:val="7B397B78"/>
    <w:rsid w:val="7C9D4AE7"/>
    <w:rsid w:val="7F5496E6"/>
    <w:rsid w:val="7FCD7A33"/>
    <w:rsid w:val="976F80E2"/>
    <w:rsid w:val="EFAD9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Calibri" w:cs="黑体"/>
      <w:sz w:val="22"/>
      <w:szCs w:val="22"/>
      <w:lang w:val="en-US" w:eastAsia="en-US" w:bidi="ar-SA"/>
    </w:rPr>
  </w:style>
  <w:style w:type="paragraph" w:styleId="3">
    <w:name w:val="heading 1"/>
    <w:basedOn w:val="1"/>
    <w:next w:val="1"/>
    <w:link w:val="30"/>
    <w:qFormat/>
    <w:uiPriority w:val="0"/>
    <w:pPr>
      <w:keepNext/>
      <w:keepLines/>
      <w:spacing w:beforeLines="0" w:beforeAutospacing="0" w:afterLines="0" w:afterAutospacing="0" w:line="240" w:lineRule="auto"/>
      <w:ind w:firstLine="640" w:firstLineChars="200"/>
      <w:outlineLvl w:val="0"/>
    </w:pPr>
    <w:rPr>
      <w:rFonts w:ascii="黑体" w:hAnsi="黑体" w:eastAsia="黑体"/>
      <w:b/>
      <w:kern w:val="44"/>
      <w:sz w:val="32"/>
    </w:rPr>
  </w:style>
  <w:style w:type="paragraph" w:styleId="4">
    <w:name w:val="heading 2"/>
    <w:basedOn w:val="1"/>
    <w:next w:val="1"/>
    <w:link w:val="28"/>
    <w:unhideWhenUsed/>
    <w:qFormat/>
    <w:uiPriority w:val="0"/>
    <w:pPr>
      <w:keepNext/>
      <w:keepLines/>
      <w:spacing w:beforeLines="0" w:beforeAutospacing="0" w:afterLines="0" w:afterAutospacing="0" w:line="240" w:lineRule="auto"/>
      <w:ind w:firstLine="640" w:firstLineChars="200"/>
      <w:outlineLvl w:val="1"/>
    </w:pPr>
    <w:rPr>
      <w:rFonts w:ascii="仿宋_GB2312" w:hAnsi="仿宋_GB2312" w:eastAsia="仿宋_GB2312"/>
      <w:b/>
      <w:bCs/>
      <w:sz w:val="32"/>
    </w:rPr>
  </w:style>
  <w:style w:type="paragraph" w:styleId="5">
    <w:name w:val="heading 3"/>
    <w:basedOn w:val="1"/>
    <w:next w:val="1"/>
    <w:link w:val="27"/>
    <w:unhideWhenUsed/>
    <w:qFormat/>
    <w:uiPriority w:val="0"/>
    <w:pPr>
      <w:keepNext/>
      <w:keepLines/>
      <w:spacing w:beforeLines="0" w:beforeAutospacing="0" w:afterLines="0" w:afterAutospacing="0" w:line="240" w:lineRule="auto"/>
      <w:ind w:firstLine="640" w:firstLineChars="200"/>
      <w:outlineLvl w:val="2"/>
    </w:pPr>
    <w:rPr>
      <w:rFonts w:ascii="仿宋_GB2312" w:hAnsi="仿宋_GB2312" w:eastAsia="仿宋_GB2312"/>
      <w:b/>
      <w:sz w:val="32"/>
    </w:rPr>
  </w:style>
  <w:style w:type="paragraph" w:styleId="6">
    <w:name w:val="heading 4"/>
    <w:basedOn w:val="1"/>
    <w:next w:val="1"/>
    <w:link w:val="29"/>
    <w:unhideWhenUsed/>
    <w:qFormat/>
    <w:uiPriority w:val="0"/>
    <w:pPr>
      <w:keepNext/>
      <w:keepLines/>
      <w:spacing w:beforeLines="0" w:beforeAutospacing="0" w:afterLines="0" w:afterAutospacing="0" w:line="240" w:lineRule="auto"/>
      <w:ind w:firstLine="640" w:firstLineChars="200"/>
      <w:outlineLvl w:val="3"/>
    </w:pPr>
    <w:rPr>
      <w:rFonts w:ascii="仿宋_GB2312" w:hAnsi="仿宋_GB2312" w:eastAsia="仿宋_GB2312"/>
      <w:sz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hint="eastAsia"/>
      <w:sz w:val="32"/>
    </w:rPr>
  </w:style>
  <w:style w:type="paragraph" w:styleId="7">
    <w:name w:val="annotation text"/>
    <w:basedOn w:val="1"/>
    <w:link w:val="22"/>
    <w:qFormat/>
    <w:uiPriority w:val="0"/>
  </w:style>
  <w:style w:type="paragraph" w:styleId="8">
    <w:name w:val="Body Text Indent"/>
    <w:basedOn w:val="1"/>
    <w:qFormat/>
    <w:uiPriority w:val="0"/>
    <w:pPr>
      <w:spacing w:after="120"/>
      <w:ind w:left="420" w:leftChars="200"/>
    </w:p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5">
    <w:name w:val="annotation subject"/>
    <w:basedOn w:val="7"/>
    <w:next w:val="7"/>
    <w:link w:val="23"/>
    <w:qFormat/>
    <w:uiPriority w:val="0"/>
    <w:rPr>
      <w:b/>
      <w:bCs/>
    </w:rPr>
  </w:style>
  <w:style w:type="paragraph" w:styleId="16">
    <w:name w:val="Body Text First Indent 2"/>
    <w:basedOn w:val="8"/>
    <w:qFormat/>
    <w:uiPriority w:val="0"/>
    <w:pPr>
      <w:ind w:firstLine="420" w:firstLineChars="200"/>
    </w:pPr>
  </w:style>
  <w:style w:type="character" w:styleId="19">
    <w:name w:val="Hyperlink"/>
    <w:basedOn w:val="18"/>
    <w:qFormat/>
    <w:uiPriority w:val="0"/>
    <w:rPr>
      <w:color w:val="0000FF"/>
      <w:u w:val="single"/>
    </w:rPr>
  </w:style>
  <w:style w:type="character" w:styleId="20">
    <w:name w:val="annotation reference"/>
    <w:basedOn w:val="18"/>
    <w:qFormat/>
    <w:uiPriority w:val="0"/>
    <w:rPr>
      <w:sz w:val="21"/>
      <w:szCs w:val="21"/>
    </w:rPr>
  </w:style>
  <w:style w:type="paragraph" w:customStyle="1" w:styleId="21">
    <w:name w:val="p0"/>
    <w:basedOn w:val="1"/>
    <w:qFormat/>
    <w:uiPriority w:val="0"/>
    <w:pPr>
      <w:widowControl/>
      <w:spacing w:before="100" w:beforeAutospacing="1" w:after="100" w:afterAutospacing="1"/>
    </w:pPr>
    <w:rPr>
      <w:rFonts w:ascii="宋体" w:hAnsi="宋体" w:cs="宋体"/>
      <w:sz w:val="24"/>
    </w:rPr>
  </w:style>
  <w:style w:type="character" w:customStyle="1" w:styleId="22">
    <w:name w:val="批注文字 字符"/>
    <w:basedOn w:val="18"/>
    <w:link w:val="7"/>
    <w:qFormat/>
    <w:uiPriority w:val="0"/>
    <w:rPr>
      <w:rFonts w:ascii="Calibri" w:hAnsi="Calibri" w:eastAsia="Calibri" w:cs="黑体"/>
      <w:sz w:val="22"/>
      <w:szCs w:val="22"/>
      <w:lang w:eastAsia="en-US"/>
    </w:rPr>
  </w:style>
  <w:style w:type="character" w:customStyle="1" w:styleId="23">
    <w:name w:val="批注主题 字符"/>
    <w:basedOn w:val="22"/>
    <w:link w:val="15"/>
    <w:qFormat/>
    <w:uiPriority w:val="0"/>
    <w:rPr>
      <w:rFonts w:ascii="Calibri" w:hAnsi="Calibri" w:eastAsia="Calibri" w:cs="黑体"/>
      <w:b/>
      <w:bCs/>
      <w:sz w:val="22"/>
      <w:szCs w:val="22"/>
      <w:lang w:eastAsia="en-US"/>
    </w:rPr>
  </w:style>
  <w:style w:type="paragraph" w:customStyle="1" w:styleId="24">
    <w:name w:val="WPSOffice手动目录 1"/>
    <w:qFormat/>
    <w:uiPriority w:val="0"/>
    <w:pPr>
      <w:ind w:leftChars="0"/>
    </w:pPr>
    <w:rPr>
      <w:rFonts w:asciiTheme="minorHAnsi" w:hAnsiTheme="minorHAnsi" w:eastAsiaTheme="minorEastAsia" w:cstheme="minorBidi"/>
      <w:sz w:val="20"/>
      <w:szCs w:val="20"/>
    </w:rPr>
  </w:style>
  <w:style w:type="paragraph" w:customStyle="1" w:styleId="25">
    <w:name w:val="WPSOffice手动目录 2"/>
    <w:qFormat/>
    <w:uiPriority w:val="0"/>
    <w:pPr>
      <w:ind w:leftChars="200"/>
    </w:pPr>
    <w:rPr>
      <w:rFonts w:asciiTheme="minorHAnsi" w:hAnsiTheme="minorHAnsi" w:eastAsiaTheme="minorEastAsia" w:cstheme="minorBidi"/>
      <w:sz w:val="20"/>
      <w:szCs w:val="20"/>
    </w:rPr>
  </w:style>
  <w:style w:type="paragraph" w:customStyle="1" w:styleId="26">
    <w:name w:val="WPSOffice手动目录 3"/>
    <w:qFormat/>
    <w:uiPriority w:val="0"/>
    <w:pPr>
      <w:ind w:leftChars="400"/>
    </w:pPr>
    <w:rPr>
      <w:rFonts w:asciiTheme="minorHAnsi" w:hAnsiTheme="minorHAnsi" w:eastAsiaTheme="minorEastAsia" w:cstheme="minorBidi"/>
      <w:sz w:val="20"/>
      <w:szCs w:val="20"/>
    </w:rPr>
  </w:style>
  <w:style w:type="character" w:customStyle="1" w:styleId="27">
    <w:name w:val="标题 3 Char"/>
    <w:link w:val="5"/>
    <w:qFormat/>
    <w:uiPriority w:val="0"/>
    <w:rPr>
      <w:rFonts w:ascii="仿宋_GB2312" w:hAnsi="仿宋_GB2312" w:eastAsia="仿宋_GB2312"/>
      <w:b/>
      <w:sz w:val="32"/>
    </w:rPr>
  </w:style>
  <w:style w:type="character" w:customStyle="1" w:styleId="28">
    <w:name w:val="标题 2 Char"/>
    <w:link w:val="4"/>
    <w:qFormat/>
    <w:uiPriority w:val="0"/>
    <w:rPr>
      <w:rFonts w:ascii="仿宋_GB2312" w:hAnsi="仿宋_GB2312" w:eastAsia="仿宋_GB2312"/>
      <w:b/>
      <w:bCs/>
      <w:sz w:val="32"/>
    </w:rPr>
  </w:style>
  <w:style w:type="character" w:customStyle="1" w:styleId="29">
    <w:name w:val="标题 4 Char"/>
    <w:link w:val="6"/>
    <w:qFormat/>
    <w:uiPriority w:val="0"/>
    <w:rPr>
      <w:rFonts w:ascii="仿宋_GB2312" w:hAnsi="仿宋_GB2312" w:eastAsia="仿宋_GB2312"/>
      <w:sz w:val="32"/>
    </w:rPr>
  </w:style>
  <w:style w:type="character" w:customStyle="1" w:styleId="30">
    <w:name w:val="标题 1 Char"/>
    <w:link w:val="3"/>
    <w:qFormat/>
    <w:uiPriority w:val="0"/>
    <w:rPr>
      <w:rFonts w:ascii="黑体" w:hAnsi="黑体" w:eastAsia="黑体"/>
      <w:b/>
      <w:kern w:val="44"/>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15932</Words>
  <Characters>16225</Characters>
  <Lines>127</Lines>
  <Paragraphs>35</Paragraphs>
  <TotalTime>8</TotalTime>
  <ScaleCrop>false</ScaleCrop>
  <LinksUpToDate>false</LinksUpToDate>
  <CharactersWithSpaces>16309</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2021-05-14T15:45:00Z</dcterms:created>
  <dc:creator>Administrator</dc:creator>
  <cp:lastModifiedBy>林嘉健</cp:lastModifiedBy>
  <cp:lastPrinted>2023-01-13T07:30:03Z</cp:lastPrinted>
  <dcterms:modified xsi:type="dcterms:W3CDTF">2023-01-13T07:31:51Z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1074467F2AD0436E9D026287748EA7DB</vt:lpwstr>
  </property>
</Properties>
</file>